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4673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outlineLvl w:val="0"/>
        <w:rPr>
          <w:rFonts w:hint="eastAsia" w:ascii="宋体" w:hAnsi="宋体"/>
          <w:b/>
          <w:bCs/>
          <w:color w:val="auto"/>
          <w:kern w:val="0"/>
          <w:sz w:val="36"/>
          <w:szCs w:val="36"/>
          <w:highlight w:val="none"/>
          <w:lang w:val="en-US" w:eastAsia="zh-CN"/>
        </w:rPr>
      </w:pPr>
      <w:bookmarkStart w:id="0" w:name="_Toc31485"/>
      <w:r>
        <w:rPr>
          <w:rFonts w:hint="eastAsia" w:ascii="宋体" w:hAnsi="宋体"/>
          <w:b/>
          <w:bCs/>
          <w:color w:val="auto"/>
          <w:kern w:val="0"/>
          <w:sz w:val="36"/>
          <w:szCs w:val="36"/>
          <w:highlight w:val="none"/>
          <w:lang w:val="en-US" w:eastAsia="zh-CN"/>
        </w:rPr>
        <w:t>附件1：</w:t>
      </w:r>
    </w:p>
    <w:p w14:paraId="6211221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auto"/>
        <w:outlineLvl w:val="0"/>
        <w:rPr>
          <w:rFonts w:hint="eastAsia" w:ascii="宋体" w:hAnsi="宋体"/>
          <w:b/>
          <w:bCs/>
          <w:color w:val="auto"/>
          <w:kern w:val="0"/>
          <w:sz w:val="36"/>
          <w:szCs w:val="36"/>
          <w:highlight w:val="none"/>
        </w:rPr>
      </w:pPr>
      <w:r>
        <w:rPr>
          <w:rFonts w:hint="eastAsia" w:ascii="宋体" w:hAnsi="宋体"/>
          <w:b/>
          <w:bCs/>
          <w:color w:val="auto"/>
          <w:kern w:val="0"/>
          <w:sz w:val="36"/>
          <w:szCs w:val="36"/>
          <w:highlight w:val="none"/>
          <w:lang w:val="en-US" w:eastAsia="zh-CN"/>
        </w:rPr>
        <w:t>采购需求</w:t>
      </w:r>
      <w:bookmarkEnd w:id="0"/>
    </w:p>
    <w:tbl>
      <w:tblPr>
        <w:tblStyle w:val="4"/>
        <w:tblpPr w:leftFromText="180" w:rightFromText="180" w:vertAnchor="text" w:horzAnchor="page" w:tblpXSpec="center" w:tblpY="621"/>
        <w:tblOverlap w:val="never"/>
        <w:tblW w:w="57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84"/>
        <w:gridCol w:w="1423"/>
        <w:gridCol w:w="850"/>
        <w:gridCol w:w="785"/>
        <w:gridCol w:w="3655"/>
        <w:gridCol w:w="1289"/>
        <w:gridCol w:w="1476"/>
      </w:tblGrid>
      <w:tr w14:paraId="386C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2" w:hRule="exact"/>
          <w:jc w:val="center"/>
        </w:trPr>
        <w:tc>
          <w:tcPr>
            <w:tcW w:w="337" w:type="pct"/>
            <w:tcBorders>
              <w:tl2br w:val="nil"/>
              <w:tr2bl w:val="nil"/>
            </w:tcBorders>
            <w:shd w:val="clear" w:color="auto" w:fill="FFFFFF"/>
            <w:noWrap w:val="0"/>
            <w:vAlign w:val="center"/>
          </w:tcPr>
          <w:p w14:paraId="3E126FE3">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000000"/>
                <w:spacing w:val="0"/>
                <w:w w:val="100"/>
                <w:position w:val="0"/>
                <w:sz w:val="24"/>
                <w:szCs w:val="24"/>
                <w:lang w:val="zh-TW" w:eastAsia="zh-TW"/>
              </w:rPr>
            </w:pPr>
            <w:bookmarkStart w:id="1" w:name="_Toc28078216"/>
            <w:bookmarkStart w:id="2" w:name="_Toc31919"/>
            <w:r>
              <w:rPr>
                <w:rFonts w:hint="eastAsia" w:ascii="仿宋_GB2312" w:hAnsi="仿宋_GB2312" w:eastAsia="仿宋_GB2312" w:cs="仿宋_GB2312"/>
                <w:color w:val="000000"/>
                <w:spacing w:val="0"/>
                <w:w w:val="100"/>
                <w:position w:val="0"/>
                <w:sz w:val="24"/>
                <w:szCs w:val="24"/>
                <w:lang w:val="zh-CN" w:eastAsia="zh-TW"/>
              </w:rPr>
              <w:t>序号</w:t>
            </w:r>
          </w:p>
        </w:tc>
        <w:tc>
          <w:tcPr>
            <w:tcW w:w="700" w:type="pct"/>
            <w:tcBorders>
              <w:tl2br w:val="nil"/>
              <w:tr2bl w:val="nil"/>
            </w:tcBorders>
            <w:shd w:val="clear" w:color="auto" w:fill="FFFFFF"/>
            <w:noWrap w:val="0"/>
            <w:vAlign w:val="center"/>
          </w:tcPr>
          <w:p w14:paraId="2EE379EC">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000000"/>
                <w:spacing w:val="0"/>
                <w:w w:val="100"/>
                <w:position w:val="0"/>
                <w:sz w:val="24"/>
                <w:szCs w:val="24"/>
                <w:lang w:val="zh-TW" w:eastAsia="zh-TW"/>
              </w:rPr>
            </w:pPr>
            <w:r>
              <w:rPr>
                <w:rFonts w:hint="eastAsia" w:ascii="仿宋_GB2312" w:hAnsi="仿宋_GB2312" w:eastAsia="仿宋_GB2312" w:cs="仿宋_GB2312"/>
                <w:color w:val="000000"/>
                <w:spacing w:val="0"/>
                <w:w w:val="100"/>
                <w:position w:val="0"/>
                <w:sz w:val="24"/>
                <w:szCs w:val="24"/>
                <w:lang w:val="zh-CN" w:eastAsia="zh-TW"/>
              </w:rPr>
              <w:t>类别</w:t>
            </w:r>
          </w:p>
        </w:tc>
        <w:tc>
          <w:tcPr>
            <w:tcW w:w="418" w:type="pct"/>
            <w:tcBorders>
              <w:tl2br w:val="nil"/>
              <w:tr2bl w:val="nil"/>
            </w:tcBorders>
            <w:shd w:val="clear" w:color="auto" w:fill="FFFFFF"/>
            <w:noWrap w:val="0"/>
            <w:vAlign w:val="center"/>
          </w:tcPr>
          <w:p w14:paraId="63C13C7F">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单位</w:t>
            </w:r>
          </w:p>
        </w:tc>
        <w:tc>
          <w:tcPr>
            <w:tcW w:w="386" w:type="pct"/>
            <w:tcBorders>
              <w:tl2br w:val="nil"/>
              <w:tr2bl w:val="nil"/>
            </w:tcBorders>
            <w:shd w:val="clear" w:color="auto" w:fill="FFFFFF"/>
            <w:noWrap w:val="0"/>
            <w:vAlign w:val="center"/>
          </w:tcPr>
          <w:p w14:paraId="2FC089B5">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数量</w:t>
            </w:r>
          </w:p>
        </w:tc>
        <w:tc>
          <w:tcPr>
            <w:tcW w:w="1798" w:type="pct"/>
            <w:tcBorders>
              <w:tl2br w:val="nil"/>
              <w:tr2bl w:val="nil"/>
            </w:tcBorders>
            <w:shd w:val="clear" w:color="auto" w:fill="FFFFFF"/>
            <w:noWrap w:val="0"/>
            <w:vAlign w:val="center"/>
          </w:tcPr>
          <w:p w14:paraId="29FCA5B8">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规格</w:t>
            </w:r>
          </w:p>
        </w:tc>
        <w:tc>
          <w:tcPr>
            <w:tcW w:w="634" w:type="pct"/>
            <w:tcBorders>
              <w:tl2br w:val="nil"/>
              <w:tr2bl w:val="nil"/>
            </w:tcBorders>
            <w:shd w:val="clear" w:color="auto" w:fill="FFFFFF"/>
            <w:noWrap w:val="0"/>
            <w:vAlign w:val="center"/>
          </w:tcPr>
          <w:p w14:paraId="15CCD661">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bookmarkStart w:id="3" w:name="_Toc14716"/>
            <w:r>
              <w:rPr>
                <w:rFonts w:hint="eastAsia" w:ascii="仿宋_GB2312" w:hAnsi="仿宋_GB2312" w:eastAsia="仿宋_GB2312" w:cs="仿宋_GB2312"/>
                <w:color w:val="auto"/>
                <w:kern w:val="0"/>
                <w:sz w:val="21"/>
                <w:szCs w:val="21"/>
                <w:u w:val="none"/>
                <w:shd w:val="clear" w:color="auto" w:fill="auto"/>
                <w:lang w:val="en-US" w:eastAsia="zh-CN" w:bidi="zh-TW"/>
              </w:rPr>
              <w:t>租赁单价</w:t>
            </w:r>
          </w:p>
          <w:p w14:paraId="763DBFB9">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最高限价</w:t>
            </w:r>
          </w:p>
          <w:p w14:paraId="58F42C6B">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（元/天）</w:t>
            </w:r>
            <w:bookmarkEnd w:id="3"/>
          </w:p>
        </w:tc>
        <w:tc>
          <w:tcPr>
            <w:tcW w:w="724" w:type="pct"/>
            <w:tcBorders>
              <w:tl2br w:val="nil"/>
              <w:tr2bl w:val="nil"/>
            </w:tcBorders>
            <w:shd w:val="clear" w:color="auto" w:fill="FFFFFF"/>
            <w:noWrap w:val="0"/>
            <w:vAlign w:val="center"/>
          </w:tcPr>
          <w:p w14:paraId="2EC5C5A2">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default"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其他要求</w:t>
            </w:r>
          </w:p>
        </w:tc>
      </w:tr>
      <w:tr w14:paraId="5074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10" w:hRule="exact"/>
          <w:jc w:val="center"/>
        </w:trPr>
        <w:tc>
          <w:tcPr>
            <w:tcW w:w="337" w:type="pct"/>
            <w:tcBorders>
              <w:tl2br w:val="nil"/>
              <w:tr2bl w:val="nil"/>
            </w:tcBorders>
            <w:shd w:val="clear" w:color="auto" w:fill="FFFFFF"/>
            <w:noWrap w:val="0"/>
            <w:vAlign w:val="center"/>
          </w:tcPr>
          <w:p w14:paraId="5F0531CF">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1</w:t>
            </w:r>
          </w:p>
          <w:p w14:paraId="7D04AE71">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000000"/>
                <w:spacing w:val="0"/>
                <w:w w:val="100"/>
                <w:position w:val="0"/>
                <w:sz w:val="24"/>
                <w:szCs w:val="24"/>
                <w:lang w:val="en-US" w:eastAsia="zh-CN"/>
              </w:rPr>
            </w:pPr>
          </w:p>
        </w:tc>
        <w:tc>
          <w:tcPr>
            <w:tcW w:w="700" w:type="pct"/>
            <w:tcBorders>
              <w:tl2br w:val="nil"/>
              <w:tr2bl w:val="nil"/>
            </w:tcBorders>
            <w:shd w:val="clear" w:color="auto" w:fill="FFFFFF"/>
            <w:noWrap w:val="0"/>
            <w:vAlign w:val="center"/>
          </w:tcPr>
          <w:p w14:paraId="7704D766">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auto"/>
                <w:spacing w:val="0"/>
                <w:w w:val="100"/>
                <w:position w:val="0"/>
                <w:sz w:val="24"/>
                <w:szCs w:val="24"/>
                <w:lang w:val="zh-TW" w:eastAsia="zh-CN"/>
              </w:rPr>
            </w:pPr>
            <w:r>
              <w:rPr>
                <w:rFonts w:hint="eastAsia" w:ascii="仿宋_GB2312" w:hAnsi="仿宋_GB2312" w:eastAsia="仿宋_GB2312" w:cs="仿宋_GB2312"/>
                <w:color w:val="auto"/>
                <w:spacing w:val="0"/>
                <w:w w:val="100"/>
                <w:position w:val="0"/>
                <w:sz w:val="24"/>
                <w:szCs w:val="24"/>
                <w:lang w:val="zh-TW" w:eastAsia="zh-CN"/>
              </w:rPr>
              <w:t>硬派越野</w:t>
            </w:r>
          </w:p>
        </w:tc>
        <w:tc>
          <w:tcPr>
            <w:tcW w:w="418" w:type="pct"/>
            <w:tcBorders>
              <w:tl2br w:val="nil"/>
              <w:tr2bl w:val="nil"/>
            </w:tcBorders>
            <w:shd w:val="clear" w:color="auto" w:fill="FFFFFF"/>
            <w:noWrap w:val="0"/>
            <w:vAlign w:val="center"/>
          </w:tcPr>
          <w:p w14:paraId="1E75EE60">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auto"/>
                <w:spacing w:val="0"/>
                <w:w w:val="100"/>
                <w:position w:val="0"/>
                <w:sz w:val="24"/>
                <w:szCs w:val="24"/>
                <w:lang w:val="en-US" w:eastAsia="zh-CN"/>
              </w:rPr>
            </w:pPr>
            <w:r>
              <w:rPr>
                <w:rFonts w:hint="eastAsia" w:ascii="仿宋_GB2312" w:hAnsi="仿宋_GB2312" w:eastAsia="仿宋_GB2312" w:cs="仿宋_GB2312"/>
                <w:color w:val="auto"/>
                <w:spacing w:val="0"/>
                <w:w w:val="100"/>
                <w:position w:val="0"/>
                <w:sz w:val="24"/>
                <w:szCs w:val="24"/>
                <w:lang w:val="en-US" w:eastAsia="zh-CN"/>
              </w:rPr>
              <w:t>辆</w:t>
            </w:r>
          </w:p>
        </w:tc>
        <w:tc>
          <w:tcPr>
            <w:tcW w:w="386" w:type="pct"/>
            <w:tcBorders>
              <w:tl2br w:val="nil"/>
              <w:tr2bl w:val="nil"/>
            </w:tcBorders>
            <w:shd w:val="clear" w:color="auto" w:fill="FFFFFF"/>
            <w:noWrap w:val="0"/>
            <w:vAlign w:val="center"/>
          </w:tcPr>
          <w:p w14:paraId="1CF5660F">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right="0" w:firstLine="0" w:firstLineChars="0"/>
              <w:jc w:val="center"/>
              <w:textAlignment w:val="auto"/>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pPr>
            <w:r>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t>2</w:t>
            </w:r>
          </w:p>
        </w:tc>
        <w:tc>
          <w:tcPr>
            <w:tcW w:w="1798" w:type="pct"/>
            <w:tcBorders>
              <w:tl2br w:val="nil"/>
              <w:tr2bl w:val="nil"/>
            </w:tcBorders>
            <w:shd w:val="clear" w:color="auto" w:fill="FFFFFF"/>
            <w:noWrap w:val="0"/>
            <w:vAlign w:val="center"/>
          </w:tcPr>
          <w:p w14:paraId="5D6BE959">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default" w:ascii="仿宋_GB2312" w:hAnsi="仿宋_GB2312" w:eastAsia="仿宋_GB2312" w:cs="仿宋_GB2312"/>
                <w:color w:val="auto"/>
                <w:kern w:val="0"/>
                <w:sz w:val="21"/>
                <w:szCs w:val="21"/>
                <w:u w:val="none"/>
                <w:shd w:val="clear" w:color="auto" w:fill="auto"/>
                <w:lang w:val="en-US" w:eastAsia="zh-CN" w:bidi="zh-TW"/>
              </w:rPr>
              <w:t>1. 动力系统</w:t>
            </w:r>
            <w:r>
              <w:rPr>
                <w:rFonts w:hint="eastAsia" w:ascii="仿宋_GB2312" w:hAnsi="仿宋_GB2312" w:eastAsia="仿宋_GB2312" w:cs="仿宋_GB2312"/>
                <w:color w:val="auto"/>
                <w:kern w:val="0"/>
                <w:sz w:val="21"/>
                <w:szCs w:val="21"/>
                <w:u w:val="none"/>
                <w:shd w:val="clear" w:color="auto" w:fill="auto"/>
                <w:lang w:val="en-US" w:eastAsia="zh-CN" w:bidi="zh-TW"/>
              </w:rPr>
              <w:t>:</w:t>
            </w:r>
          </w:p>
          <w:p w14:paraId="54D543D6">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default" w:ascii="仿宋_GB2312" w:hAnsi="仿宋_GB2312" w:eastAsia="仿宋_GB2312" w:cs="仿宋_GB2312"/>
                <w:color w:val="auto"/>
                <w:kern w:val="0"/>
                <w:sz w:val="21"/>
                <w:szCs w:val="21"/>
                <w:u w:val="none"/>
                <w:shd w:val="clear" w:color="auto" w:fill="auto"/>
                <w:lang w:val="en-US" w:eastAsia="zh-CN" w:bidi="zh-TW"/>
              </w:rPr>
              <w:t>发动机：大排量柴油/汽油机（</w:t>
            </w:r>
            <w:r>
              <w:rPr>
                <w:rFonts w:hint="eastAsia" w:ascii="仿宋_GB2312" w:hAnsi="仿宋_GB2312" w:eastAsia="仿宋_GB2312" w:cs="仿宋_GB2312"/>
                <w:color w:val="auto"/>
                <w:kern w:val="0"/>
                <w:sz w:val="21"/>
                <w:szCs w:val="21"/>
                <w:u w:val="none"/>
                <w:shd w:val="clear" w:color="auto" w:fill="auto"/>
                <w:lang w:val="en-US" w:eastAsia="zh-CN" w:bidi="zh-TW"/>
              </w:rPr>
              <w:t>2</w:t>
            </w:r>
            <w:r>
              <w:rPr>
                <w:rFonts w:hint="default" w:ascii="仿宋_GB2312" w:hAnsi="仿宋_GB2312" w:eastAsia="仿宋_GB2312" w:cs="仿宋_GB2312"/>
                <w:color w:val="auto"/>
                <w:kern w:val="0"/>
                <w:sz w:val="21"/>
                <w:szCs w:val="21"/>
                <w:u w:val="none"/>
                <w:shd w:val="clear" w:color="auto" w:fill="auto"/>
                <w:lang w:val="en-US" w:eastAsia="zh-CN" w:bidi="zh-TW"/>
              </w:rPr>
              <w:t>.0L以上），低转速高扭矩（变速箱：6AT/8AT（带手动模式）或6MT，部分车型可选分动箱。</w:t>
            </w:r>
          </w:p>
          <w:p w14:paraId="3C2AC1F5">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2.</w:t>
            </w:r>
            <w:r>
              <w:rPr>
                <w:rFonts w:hint="default" w:ascii="仿宋_GB2312" w:hAnsi="仿宋_GB2312" w:eastAsia="仿宋_GB2312" w:cs="仿宋_GB2312"/>
                <w:color w:val="auto"/>
                <w:kern w:val="0"/>
                <w:sz w:val="21"/>
                <w:szCs w:val="21"/>
                <w:u w:val="none"/>
                <w:shd w:val="clear" w:color="auto" w:fill="auto"/>
                <w:lang w:val="en-US" w:eastAsia="zh-CN" w:bidi="zh-TW"/>
              </w:rPr>
              <w:t>四驱系统：</w:t>
            </w:r>
            <w:r>
              <w:rPr>
                <w:rFonts w:hint="eastAsia" w:ascii="仿宋_GB2312" w:hAnsi="仿宋_GB2312" w:eastAsia="仿宋_GB2312" w:cs="仿宋_GB2312"/>
                <w:color w:val="auto"/>
                <w:kern w:val="0"/>
                <w:sz w:val="21"/>
                <w:szCs w:val="21"/>
                <w:u w:val="none"/>
                <w:shd w:val="clear" w:color="auto" w:fill="auto"/>
                <w:lang w:val="en-US" w:eastAsia="zh-CN" w:bidi="zh-TW"/>
              </w:rPr>
              <w:t>分</w:t>
            </w:r>
            <w:r>
              <w:rPr>
                <w:rFonts w:hint="default" w:ascii="仿宋_GB2312" w:hAnsi="仿宋_GB2312" w:eastAsia="仿宋_GB2312" w:cs="仿宋_GB2312"/>
                <w:color w:val="auto"/>
                <w:kern w:val="0"/>
                <w:sz w:val="21"/>
                <w:szCs w:val="21"/>
                <w:u w:val="none"/>
                <w:shd w:val="clear" w:color="auto" w:fill="auto"/>
                <w:lang w:val="en-US" w:eastAsia="zh-CN" w:bidi="zh-TW"/>
              </w:rPr>
              <w:t>时四驱+中央差速锁。</w:t>
            </w:r>
          </w:p>
          <w:p w14:paraId="78616CC2">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3</w:t>
            </w:r>
            <w:r>
              <w:rPr>
                <w:rFonts w:hint="default" w:ascii="仿宋_GB2312" w:hAnsi="仿宋_GB2312" w:eastAsia="仿宋_GB2312" w:cs="仿宋_GB2312"/>
                <w:color w:val="auto"/>
                <w:kern w:val="0"/>
                <w:sz w:val="21"/>
                <w:szCs w:val="21"/>
                <w:u w:val="none"/>
                <w:shd w:val="clear" w:color="auto" w:fill="auto"/>
                <w:lang w:val="en-US" w:eastAsia="zh-CN" w:bidi="zh-TW"/>
              </w:rPr>
              <w:t>. 底盘与悬挂</w:t>
            </w:r>
            <w:r>
              <w:rPr>
                <w:rFonts w:hint="eastAsia" w:ascii="仿宋_GB2312" w:hAnsi="仿宋_GB2312" w:eastAsia="仿宋_GB2312" w:cs="仿宋_GB2312"/>
                <w:color w:val="auto"/>
                <w:kern w:val="0"/>
                <w:sz w:val="21"/>
                <w:szCs w:val="21"/>
                <w:u w:val="none"/>
                <w:shd w:val="clear" w:color="auto" w:fill="auto"/>
                <w:lang w:val="en-US" w:eastAsia="zh-CN" w:bidi="zh-TW"/>
              </w:rPr>
              <w:t>：</w:t>
            </w:r>
            <w:r>
              <w:rPr>
                <w:rFonts w:hint="default" w:ascii="仿宋_GB2312" w:hAnsi="仿宋_GB2312" w:eastAsia="仿宋_GB2312" w:cs="仿宋_GB2312"/>
                <w:color w:val="auto"/>
                <w:kern w:val="0"/>
                <w:sz w:val="21"/>
                <w:szCs w:val="21"/>
                <w:u w:val="none"/>
                <w:shd w:val="clear" w:color="auto" w:fill="auto"/>
                <w:lang w:val="en-US" w:eastAsia="zh-CN" w:bidi="zh-TW"/>
              </w:rPr>
              <w:t>车架非承载式车身，梯形大梁。</w:t>
            </w:r>
          </w:p>
          <w:p w14:paraId="2B303D19">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pPr>
            <w:r>
              <w:rPr>
                <w:rFonts w:hint="eastAsia" w:ascii="仿宋_GB2312" w:hAnsi="仿宋_GB2312" w:eastAsia="仿宋_GB2312" w:cs="仿宋_GB2312"/>
                <w:color w:val="auto"/>
                <w:kern w:val="0"/>
                <w:sz w:val="21"/>
                <w:szCs w:val="21"/>
                <w:u w:val="none"/>
                <w:shd w:val="clear" w:color="auto" w:fill="auto"/>
                <w:lang w:val="en-US" w:eastAsia="zh-CN" w:bidi="zh-TW"/>
              </w:rPr>
              <w:t>4、技术性能：</w:t>
            </w:r>
            <w:r>
              <w:rPr>
                <w:rFonts w:hint="default" w:ascii="仿宋_GB2312" w:hAnsi="仿宋_GB2312" w:eastAsia="仿宋_GB2312" w:cs="仿宋_GB2312"/>
                <w:color w:val="auto"/>
                <w:kern w:val="0"/>
                <w:sz w:val="21"/>
                <w:szCs w:val="21"/>
                <w:u w:val="none"/>
                <w:shd w:val="clear" w:color="auto" w:fill="auto"/>
                <w:lang w:val="en-US" w:eastAsia="zh-CN" w:bidi="zh-TW"/>
              </w:rPr>
              <w:t>机械锁+非承载+高通过性是硬派越野三大核心，兼顾低扭动力、可靠四驱和极端地形适应性。</w:t>
            </w:r>
          </w:p>
        </w:tc>
        <w:tc>
          <w:tcPr>
            <w:tcW w:w="634" w:type="pct"/>
            <w:tcBorders>
              <w:tl2br w:val="nil"/>
              <w:tr2bl w:val="nil"/>
            </w:tcBorders>
            <w:shd w:val="clear" w:color="auto" w:fill="FFFFFF"/>
            <w:noWrap w:val="0"/>
            <w:vAlign w:val="center"/>
          </w:tcPr>
          <w:p w14:paraId="01D43722">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900元/天</w:t>
            </w:r>
          </w:p>
        </w:tc>
        <w:tc>
          <w:tcPr>
            <w:tcW w:w="724" w:type="pct"/>
            <w:vMerge w:val="restart"/>
            <w:tcBorders>
              <w:tl2br w:val="nil"/>
              <w:tr2bl w:val="nil"/>
            </w:tcBorders>
            <w:shd w:val="clear" w:color="auto" w:fill="FFFFFF"/>
            <w:noWrap w:val="0"/>
            <w:vAlign w:val="center"/>
          </w:tcPr>
          <w:p w14:paraId="60133B52">
            <w:pPr>
              <w:keepNext w:val="0"/>
              <w:keepLines w:val="0"/>
              <w:pageBreakBefore w:val="0"/>
              <w:widowControl w:val="0"/>
              <w:shd w:val="clear" w:color="auto" w:fill="auto"/>
              <w:tabs>
                <w:tab w:val="left" w:pos="251"/>
              </w:tabs>
              <w:kinsoku/>
              <w:wordWrap/>
              <w:overflowPunct/>
              <w:topLinePunct w:val="0"/>
              <w:autoSpaceDE/>
              <w:autoSpaceDN/>
              <w:bidi w:val="0"/>
              <w:adjustRightInd w:val="0"/>
              <w:snapToGrid w:val="0"/>
              <w:spacing w:before="0" w:after="0" w:line="300" w:lineRule="exact"/>
              <w:ind w:left="0" w:leftChars="0" w:right="0" w:firstLine="0" w:firstLineChars="0"/>
              <w:jc w:val="left"/>
              <w:textAlignment w:val="auto"/>
              <w:rPr>
                <w:rFonts w:hint="eastAsia" w:ascii="仿宋_GB2312" w:hAnsi="仿宋_GB2312" w:eastAsia="仿宋_GB2312" w:cs="仿宋_GB2312"/>
                <w:color w:val="auto"/>
                <w:kern w:val="0"/>
                <w:sz w:val="21"/>
                <w:szCs w:val="21"/>
                <w:u w:val="none"/>
                <w:shd w:val="clear" w:color="auto" w:fill="FFFFFF"/>
                <w:lang w:val="en-US" w:eastAsia="zh-CN" w:bidi="ar"/>
              </w:rPr>
            </w:pPr>
            <w:r>
              <w:rPr>
                <w:rFonts w:hint="eastAsia" w:ascii="仿宋_GB2312" w:hAnsi="仿宋_GB2312" w:eastAsia="仿宋_GB2312" w:cs="仿宋_GB2312"/>
                <w:b/>
                <w:bCs/>
                <w:color w:val="auto"/>
                <w:kern w:val="0"/>
                <w:sz w:val="21"/>
                <w:szCs w:val="21"/>
                <w:u w:val="none"/>
                <w:shd w:val="clear" w:color="auto" w:fill="FFFFFF"/>
                <w:lang w:val="en-US" w:eastAsia="zh-CN" w:bidi="ar"/>
              </w:rPr>
              <w:t>车辆保险：</w:t>
            </w:r>
            <w:r>
              <w:rPr>
                <w:rFonts w:hint="eastAsia" w:ascii="仿宋_GB2312" w:hAnsi="仿宋_GB2312" w:eastAsia="仿宋_GB2312" w:cs="仿宋_GB2312"/>
                <w:color w:val="auto"/>
                <w:kern w:val="0"/>
                <w:sz w:val="21"/>
                <w:szCs w:val="21"/>
                <w:u w:val="none"/>
                <w:shd w:val="clear" w:color="auto" w:fill="FFFFFF"/>
                <w:lang w:val="en-US" w:eastAsia="zh-CN" w:bidi="ar"/>
              </w:rPr>
              <w:t>交强险、第三者责任险200万以上、座位险10万。</w:t>
            </w:r>
          </w:p>
          <w:p w14:paraId="7AA7EEEA">
            <w:pPr>
              <w:keepNext w:val="0"/>
              <w:keepLines w:val="0"/>
              <w:pageBreakBefore w:val="0"/>
              <w:widowControl w:val="0"/>
              <w:shd w:val="clear" w:color="auto" w:fill="auto"/>
              <w:tabs>
                <w:tab w:val="left" w:pos="251"/>
              </w:tabs>
              <w:kinsoku/>
              <w:wordWrap/>
              <w:overflowPunct/>
              <w:topLinePunct w:val="0"/>
              <w:autoSpaceDE/>
              <w:autoSpaceDN/>
              <w:bidi w:val="0"/>
              <w:adjustRightInd w:val="0"/>
              <w:snapToGrid w:val="0"/>
              <w:spacing w:before="0" w:after="0" w:line="300" w:lineRule="exact"/>
              <w:ind w:left="0" w:leftChars="0" w:right="0" w:firstLine="0" w:firstLineChars="0"/>
              <w:jc w:val="left"/>
              <w:textAlignment w:val="auto"/>
              <w:rPr>
                <w:rFonts w:hint="eastAsia" w:ascii="仿宋_GB2312" w:hAnsi="仿宋_GB2312" w:eastAsia="仿宋_GB2312" w:cs="仿宋_GB2312"/>
                <w:color w:val="auto"/>
                <w:kern w:val="0"/>
                <w:sz w:val="21"/>
                <w:szCs w:val="21"/>
                <w:u w:val="none"/>
                <w:shd w:val="clear" w:color="auto" w:fill="FFFFFF"/>
                <w:lang w:val="en-US" w:eastAsia="zh-CN" w:bidi="ar"/>
              </w:rPr>
            </w:pPr>
            <w:r>
              <w:rPr>
                <w:rFonts w:hint="eastAsia" w:ascii="仿宋_GB2312" w:hAnsi="仿宋_GB2312" w:eastAsia="仿宋_GB2312" w:cs="仿宋_GB2312"/>
                <w:b/>
                <w:bCs/>
                <w:color w:val="auto"/>
                <w:kern w:val="0"/>
                <w:sz w:val="21"/>
                <w:szCs w:val="21"/>
                <w:u w:val="none"/>
                <w:shd w:val="clear" w:color="auto" w:fill="FFFFFF"/>
                <w:lang w:val="en-US" w:eastAsia="zh-CN" w:bidi="ar"/>
              </w:rPr>
              <w:t>驾驶员：</w:t>
            </w:r>
            <w:r>
              <w:rPr>
                <w:rFonts w:hint="eastAsia" w:ascii="仿宋_GB2312" w:hAnsi="仿宋_GB2312" w:eastAsia="仿宋_GB2312" w:cs="仿宋_GB2312"/>
                <w:b w:val="0"/>
                <w:bCs w:val="0"/>
                <w:color w:val="auto"/>
                <w:kern w:val="0"/>
                <w:sz w:val="21"/>
                <w:szCs w:val="21"/>
                <w:u w:val="none"/>
                <w:shd w:val="clear" w:color="auto" w:fill="FFFFFF"/>
                <w:lang w:val="en-US" w:eastAsia="zh-CN" w:bidi="ar"/>
              </w:rPr>
              <w:t>拟投入本项目驾驶员最少7人</w:t>
            </w:r>
            <w:r>
              <w:rPr>
                <w:rFonts w:hint="eastAsia" w:ascii="仿宋_GB2312" w:hAnsi="仿宋_GB2312" w:eastAsia="仿宋_GB2312" w:cs="仿宋_GB2312"/>
                <w:color w:val="auto"/>
                <w:kern w:val="0"/>
                <w:sz w:val="21"/>
                <w:szCs w:val="21"/>
                <w:u w:val="none"/>
                <w:shd w:val="clear" w:color="auto" w:fill="FFFFFF"/>
                <w:lang w:val="en-US" w:eastAsia="zh-CN" w:bidi="ar"/>
              </w:rPr>
              <w:t>。</w:t>
            </w:r>
          </w:p>
          <w:p w14:paraId="0396D44A">
            <w:pPr>
              <w:keepNext w:val="0"/>
              <w:keepLines w:val="0"/>
              <w:pageBreakBefore w:val="0"/>
              <w:widowControl w:val="0"/>
              <w:shd w:val="clear" w:color="auto" w:fill="auto"/>
              <w:tabs>
                <w:tab w:val="left" w:pos="251"/>
              </w:tabs>
              <w:kinsoku/>
              <w:wordWrap/>
              <w:overflowPunct/>
              <w:topLinePunct w:val="0"/>
              <w:autoSpaceDE/>
              <w:autoSpaceDN/>
              <w:bidi w:val="0"/>
              <w:adjustRightInd w:val="0"/>
              <w:snapToGrid w:val="0"/>
              <w:spacing w:before="0" w:after="0" w:line="300" w:lineRule="exact"/>
              <w:ind w:left="0" w:leftChars="0" w:right="0" w:firstLine="0" w:firstLineChars="0"/>
              <w:jc w:val="left"/>
              <w:textAlignment w:val="auto"/>
              <w:rPr>
                <w:rFonts w:hint="default" w:ascii="仿宋_GB2312" w:hAnsi="仿宋_GB2312" w:eastAsia="仿宋_GB2312" w:cs="仿宋_GB2312"/>
                <w:color w:val="000000"/>
                <w:spacing w:val="0"/>
                <w:w w:val="100"/>
                <w:kern w:val="2"/>
                <w:position w:val="0"/>
                <w:sz w:val="24"/>
                <w:szCs w:val="24"/>
                <w:u w:val="none"/>
                <w:shd w:val="clear" w:color="auto" w:fill="auto"/>
                <w:lang w:val="en-US" w:eastAsia="zh-CN" w:bidi="ar-SA"/>
              </w:rPr>
            </w:pPr>
            <w:r>
              <w:rPr>
                <w:rFonts w:hint="eastAsia" w:ascii="仿宋_GB2312" w:hAnsi="仿宋_GB2312" w:eastAsia="仿宋_GB2312" w:cs="仿宋_GB2312"/>
                <w:color w:val="auto"/>
                <w:kern w:val="0"/>
                <w:sz w:val="21"/>
                <w:szCs w:val="21"/>
                <w:u w:val="none"/>
                <w:shd w:val="clear" w:color="auto" w:fill="FFFFFF"/>
                <w:lang w:val="en-US" w:eastAsia="zh-CN" w:bidi="ar"/>
              </w:rPr>
              <w:t>注：拟投入本项目的车辆驾驶员需提供身份证及驾驶证复印件及上述人员近三个月的社保记录或者双方签订的服务合同等证明材料。</w:t>
            </w:r>
          </w:p>
        </w:tc>
      </w:tr>
      <w:tr w14:paraId="6703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31" w:hRule="exact"/>
          <w:jc w:val="center"/>
        </w:trPr>
        <w:tc>
          <w:tcPr>
            <w:tcW w:w="337" w:type="pct"/>
            <w:tcBorders>
              <w:tl2br w:val="nil"/>
              <w:tr2bl w:val="nil"/>
            </w:tcBorders>
            <w:shd w:val="clear" w:color="auto" w:fill="FFFFFF"/>
            <w:noWrap w:val="0"/>
            <w:vAlign w:val="center"/>
          </w:tcPr>
          <w:p w14:paraId="27F50267">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2</w:t>
            </w:r>
          </w:p>
        </w:tc>
        <w:tc>
          <w:tcPr>
            <w:tcW w:w="700" w:type="pct"/>
            <w:tcBorders>
              <w:tl2br w:val="nil"/>
              <w:tr2bl w:val="nil"/>
            </w:tcBorders>
            <w:shd w:val="clear" w:color="auto" w:fill="FFFFFF"/>
            <w:noWrap w:val="0"/>
            <w:vAlign w:val="center"/>
          </w:tcPr>
          <w:p w14:paraId="6461D1F0">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auto"/>
                <w:spacing w:val="0"/>
                <w:w w:val="100"/>
                <w:position w:val="0"/>
                <w:sz w:val="24"/>
                <w:szCs w:val="24"/>
                <w:lang w:eastAsia="zh-CN"/>
              </w:rPr>
            </w:pPr>
            <w:r>
              <w:rPr>
                <w:rFonts w:hint="eastAsia" w:ascii="仿宋_GB2312" w:hAnsi="仿宋_GB2312" w:eastAsia="仿宋_GB2312" w:cs="仿宋_GB2312"/>
                <w:color w:val="auto"/>
                <w:spacing w:val="0"/>
                <w:w w:val="100"/>
                <w:position w:val="0"/>
                <w:sz w:val="24"/>
                <w:szCs w:val="24"/>
                <w:lang w:val="zh-CN" w:eastAsia="zh-CN"/>
              </w:rPr>
              <w:t>四驱suv</w:t>
            </w:r>
          </w:p>
        </w:tc>
        <w:tc>
          <w:tcPr>
            <w:tcW w:w="418" w:type="pct"/>
            <w:tcBorders>
              <w:tl2br w:val="nil"/>
              <w:tr2bl w:val="nil"/>
            </w:tcBorders>
            <w:shd w:val="clear" w:color="auto" w:fill="FFFFFF"/>
            <w:noWrap w:val="0"/>
            <w:vAlign w:val="center"/>
          </w:tcPr>
          <w:p w14:paraId="43806F4A">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right="0" w:firstLine="0" w:firstLineChars="0"/>
              <w:jc w:val="center"/>
              <w:textAlignment w:val="auto"/>
              <w:rPr>
                <w:rFonts w:hint="eastAsia" w:ascii="仿宋_GB2312" w:hAnsi="仿宋_GB2312" w:eastAsia="仿宋_GB2312" w:cs="仿宋_GB2312"/>
                <w:b w:val="0"/>
                <w:bCs w:val="0"/>
                <w:color w:val="auto"/>
                <w:spacing w:val="0"/>
                <w:w w:val="100"/>
                <w:kern w:val="2"/>
                <w:position w:val="0"/>
                <w:sz w:val="24"/>
                <w:szCs w:val="24"/>
                <w:u w:val="none"/>
                <w:shd w:val="clear" w:color="auto" w:fill="auto"/>
                <w:lang w:val="zh-TW" w:eastAsia="zh-TW" w:bidi="zh-TW"/>
              </w:rPr>
            </w:pPr>
            <w:r>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zh-TW"/>
              </w:rPr>
              <w:t>辆</w:t>
            </w:r>
          </w:p>
        </w:tc>
        <w:tc>
          <w:tcPr>
            <w:tcW w:w="386" w:type="pct"/>
            <w:tcBorders>
              <w:tl2br w:val="nil"/>
              <w:tr2bl w:val="nil"/>
            </w:tcBorders>
            <w:shd w:val="clear" w:color="auto" w:fill="FFFFFF"/>
            <w:noWrap w:val="0"/>
            <w:vAlign w:val="center"/>
          </w:tcPr>
          <w:p w14:paraId="54D45C5E">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right="0" w:firstLine="0" w:firstLineChars="0"/>
              <w:jc w:val="center"/>
              <w:textAlignment w:val="auto"/>
              <w:rPr>
                <w:rFonts w:hint="default" w:ascii="仿宋_GB2312" w:hAnsi="仿宋_GB2312" w:eastAsia="仿宋_GB2312" w:cs="仿宋_GB2312"/>
                <w:color w:val="auto"/>
                <w:spacing w:val="0"/>
                <w:w w:val="100"/>
                <w:kern w:val="2"/>
                <w:position w:val="0"/>
                <w:sz w:val="24"/>
                <w:szCs w:val="24"/>
                <w:u w:val="none"/>
                <w:shd w:val="clear" w:color="auto" w:fill="auto"/>
                <w:lang w:val="en-US" w:eastAsia="zh-CN" w:bidi="ar-SA"/>
              </w:rPr>
            </w:pPr>
            <w:r>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t>8</w:t>
            </w:r>
          </w:p>
        </w:tc>
        <w:tc>
          <w:tcPr>
            <w:tcW w:w="1798" w:type="pct"/>
            <w:tcBorders>
              <w:tl2br w:val="nil"/>
              <w:tr2bl w:val="nil"/>
            </w:tcBorders>
            <w:shd w:val="clear" w:color="auto" w:fill="FFFFFF"/>
            <w:noWrap w:val="0"/>
            <w:vAlign w:val="center"/>
          </w:tcPr>
          <w:p w14:paraId="78F38F31">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1. 动力系统</w:t>
            </w:r>
          </w:p>
          <w:p w14:paraId="2A4D4D0E">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发动机：SUV：2.0T以上，变速箱：CVT或6AT/7DCT，驱动方式：分时四驱。</w:t>
            </w:r>
          </w:p>
          <w:p w14:paraId="45E362CC">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2.车架类型：承载式车身</w:t>
            </w:r>
          </w:p>
          <w:p w14:paraId="6AFC7C4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pPr>
            <w:r>
              <w:rPr>
                <w:rFonts w:hint="eastAsia" w:ascii="仿宋_GB2312" w:hAnsi="仿宋_GB2312" w:eastAsia="仿宋_GB2312" w:cs="仿宋_GB2312"/>
                <w:color w:val="auto"/>
                <w:kern w:val="0"/>
                <w:sz w:val="21"/>
                <w:szCs w:val="21"/>
                <w:u w:val="none"/>
                <w:shd w:val="clear" w:color="auto" w:fill="auto"/>
                <w:lang w:val="en-US" w:eastAsia="zh-CN" w:bidi="zh-TW"/>
              </w:rPr>
              <w:t>3.技术性能：侧重舒适、油耗、四驱系统、通过性。</w:t>
            </w:r>
          </w:p>
        </w:tc>
        <w:tc>
          <w:tcPr>
            <w:tcW w:w="634" w:type="pct"/>
            <w:tcBorders>
              <w:tl2br w:val="nil"/>
              <w:tr2bl w:val="nil"/>
            </w:tcBorders>
            <w:shd w:val="clear" w:color="auto" w:fill="FFFFFF"/>
            <w:noWrap w:val="0"/>
            <w:vAlign w:val="center"/>
          </w:tcPr>
          <w:p w14:paraId="2D127660">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650元/天</w:t>
            </w:r>
          </w:p>
        </w:tc>
        <w:tc>
          <w:tcPr>
            <w:tcW w:w="724" w:type="pct"/>
            <w:vMerge w:val="continue"/>
            <w:tcBorders>
              <w:tl2br w:val="nil"/>
              <w:tr2bl w:val="nil"/>
            </w:tcBorders>
            <w:shd w:val="clear" w:color="auto" w:fill="FFFFFF"/>
            <w:noWrap w:val="0"/>
            <w:vAlign w:val="center"/>
          </w:tcPr>
          <w:p w14:paraId="3CB58F02">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right="0" w:firstLine="0" w:firstLineChars="0"/>
              <w:jc w:val="both"/>
              <w:textAlignment w:val="auto"/>
              <w:rPr>
                <w:rFonts w:hint="eastAsia" w:ascii="仿宋_GB2312" w:hAnsi="仿宋_GB2312" w:eastAsia="仿宋_GB2312" w:cs="仿宋_GB2312"/>
                <w:color w:val="000000"/>
                <w:spacing w:val="0"/>
                <w:w w:val="100"/>
                <w:kern w:val="2"/>
                <w:position w:val="0"/>
                <w:sz w:val="24"/>
                <w:szCs w:val="24"/>
                <w:u w:val="none"/>
                <w:shd w:val="clear" w:color="auto" w:fill="auto"/>
                <w:lang w:val="en-US" w:eastAsia="zh-CN" w:bidi="ar-SA"/>
              </w:rPr>
            </w:pPr>
          </w:p>
        </w:tc>
      </w:tr>
      <w:tr w14:paraId="65B6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16" w:hRule="exact"/>
          <w:jc w:val="center"/>
        </w:trPr>
        <w:tc>
          <w:tcPr>
            <w:tcW w:w="337" w:type="pct"/>
            <w:tcBorders>
              <w:tl2br w:val="nil"/>
              <w:tr2bl w:val="nil"/>
            </w:tcBorders>
            <w:shd w:val="clear" w:color="auto" w:fill="FFFFFF"/>
            <w:noWrap w:val="0"/>
            <w:vAlign w:val="center"/>
          </w:tcPr>
          <w:p w14:paraId="66B0B312">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3</w:t>
            </w:r>
          </w:p>
        </w:tc>
        <w:tc>
          <w:tcPr>
            <w:tcW w:w="700" w:type="pct"/>
            <w:tcBorders>
              <w:tl2br w:val="nil"/>
              <w:tr2bl w:val="nil"/>
            </w:tcBorders>
            <w:shd w:val="clear" w:color="auto" w:fill="FFFFFF"/>
            <w:noWrap w:val="0"/>
            <w:vAlign w:val="center"/>
          </w:tcPr>
          <w:p w14:paraId="385189ED">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auto"/>
                <w:spacing w:val="0"/>
                <w:w w:val="100"/>
                <w:position w:val="0"/>
                <w:sz w:val="24"/>
                <w:szCs w:val="24"/>
                <w:lang w:eastAsia="zh-CN"/>
              </w:rPr>
            </w:pPr>
            <w:r>
              <w:rPr>
                <w:rFonts w:hint="eastAsia" w:ascii="仿宋_GB2312" w:hAnsi="仿宋_GB2312" w:eastAsia="仿宋_GB2312" w:cs="仿宋_GB2312"/>
                <w:color w:val="auto"/>
                <w:spacing w:val="0"/>
                <w:w w:val="100"/>
                <w:position w:val="0"/>
                <w:sz w:val="24"/>
                <w:szCs w:val="24"/>
                <w:lang w:val="zh-CN" w:eastAsia="zh-CN"/>
              </w:rPr>
              <w:t>四驱皮卡</w:t>
            </w:r>
          </w:p>
        </w:tc>
        <w:tc>
          <w:tcPr>
            <w:tcW w:w="418" w:type="pct"/>
            <w:tcBorders>
              <w:tl2br w:val="nil"/>
              <w:tr2bl w:val="nil"/>
            </w:tcBorders>
            <w:shd w:val="clear" w:color="auto" w:fill="FFFFFF"/>
            <w:noWrap w:val="0"/>
            <w:vAlign w:val="center"/>
          </w:tcPr>
          <w:p w14:paraId="4B3C8033">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right="0" w:firstLine="0" w:firstLineChars="0"/>
              <w:jc w:val="center"/>
              <w:textAlignment w:val="auto"/>
              <w:rPr>
                <w:rFonts w:hint="eastAsia" w:ascii="仿宋_GB2312" w:hAnsi="仿宋_GB2312" w:eastAsia="仿宋_GB2312" w:cs="仿宋_GB2312"/>
                <w:b w:val="0"/>
                <w:bCs w:val="0"/>
                <w:color w:val="auto"/>
                <w:spacing w:val="0"/>
                <w:w w:val="100"/>
                <w:kern w:val="2"/>
                <w:position w:val="0"/>
                <w:sz w:val="24"/>
                <w:szCs w:val="24"/>
                <w:u w:val="none"/>
                <w:shd w:val="clear" w:color="auto" w:fill="auto"/>
                <w:lang w:val="zh-TW" w:eastAsia="zh-TW" w:bidi="zh-TW"/>
              </w:rPr>
            </w:pPr>
            <w:r>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zh-TW"/>
              </w:rPr>
              <w:t>辆</w:t>
            </w:r>
          </w:p>
        </w:tc>
        <w:tc>
          <w:tcPr>
            <w:tcW w:w="386" w:type="pct"/>
            <w:tcBorders>
              <w:tl2br w:val="nil"/>
              <w:tr2bl w:val="nil"/>
            </w:tcBorders>
            <w:shd w:val="clear" w:color="auto" w:fill="FFFFFF"/>
            <w:noWrap w:val="0"/>
            <w:vAlign w:val="center"/>
          </w:tcPr>
          <w:p w14:paraId="7ED903A0">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right="0" w:firstLine="0" w:firstLineChars="0"/>
              <w:jc w:val="center"/>
              <w:textAlignment w:val="auto"/>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pPr>
            <w:r>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t>5</w:t>
            </w:r>
          </w:p>
        </w:tc>
        <w:tc>
          <w:tcPr>
            <w:tcW w:w="1798" w:type="pct"/>
            <w:tcBorders>
              <w:tl2br w:val="nil"/>
              <w:tr2bl w:val="nil"/>
            </w:tcBorders>
            <w:shd w:val="clear" w:color="auto" w:fill="FFFFFF"/>
            <w:noWrap w:val="0"/>
            <w:vAlign w:val="center"/>
          </w:tcPr>
          <w:p w14:paraId="13B8775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1.</w:t>
            </w:r>
            <w:r>
              <w:rPr>
                <w:rFonts w:hint="default" w:ascii="仿宋_GB2312" w:hAnsi="仿宋_GB2312" w:eastAsia="仿宋_GB2312" w:cs="仿宋_GB2312"/>
                <w:color w:val="auto"/>
                <w:kern w:val="0"/>
                <w:sz w:val="21"/>
                <w:szCs w:val="21"/>
                <w:u w:val="none"/>
                <w:shd w:val="clear" w:color="auto" w:fill="auto"/>
                <w:lang w:val="en-US" w:eastAsia="zh-CN" w:bidi="zh-TW"/>
              </w:rPr>
              <w:t>动力系统</w:t>
            </w:r>
            <w:r>
              <w:rPr>
                <w:rFonts w:hint="eastAsia" w:ascii="仿宋_GB2312" w:hAnsi="仿宋_GB2312" w:eastAsia="仿宋_GB2312" w:cs="仿宋_GB2312"/>
                <w:color w:val="auto"/>
                <w:kern w:val="0"/>
                <w:sz w:val="21"/>
                <w:szCs w:val="21"/>
                <w:u w:val="none"/>
                <w:shd w:val="clear" w:color="auto" w:fill="auto"/>
                <w:lang w:val="en-US" w:eastAsia="zh-CN" w:bidi="zh-TW"/>
              </w:rPr>
              <w:t>：</w:t>
            </w:r>
          </w:p>
          <w:p w14:paraId="3155130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default" w:ascii="仿宋_GB2312" w:hAnsi="仿宋_GB2312" w:eastAsia="仿宋_GB2312" w:cs="仿宋_GB2312"/>
                <w:color w:val="auto"/>
                <w:kern w:val="0"/>
                <w:sz w:val="21"/>
                <w:szCs w:val="21"/>
                <w:u w:val="none"/>
                <w:shd w:val="clear" w:color="auto" w:fill="auto"/>
                <w:lang w:val="en-US" w:eastAsia="zh-CN" w:bidi="zh-TW"/>
              </w:rPr>
              <w:t>发动机：柴油/汽油发动机，排量2.0L~3.0L，变速</w:t>
            </w:r>
            <w:r>
              <w:rPr>
                <w:rFonts w:hint="eastAsia" w:ascii="仿宋_GB2312" w:hAnsi="仿宋_GB2312" w:eastAsia="仿宋_GB2312" w:cs="仿宋_GB2312"/>
                <w:color w:val="auto"/>
                <w:kern w:val="0"/>
                <w:sz w:val="21"/>
                <w:szCs w:val="21"/>
                <w:u w:val="none"/>
                <w:shd w:val="clear" w:color="auto" w:fill="auto"/>
                <w:lang w:val="en-US" w:eastAsia="zh-CN" w:bidi="zh-TW"/>
              </w:rPr>
              <w:t>箱</w:t>
            </w:r>
            <w:r>
              <w:rPr>
                <w:rFonts w:hint="default" w:ascii="仿宋_GB2312" w:hAnsi="仿宋_GB2312" w:eastAsia="仿宋_GB2312" w:cs="仿宋_GB2312"/>
                <w:color w:val="auto"/>
                <w:kern w:val="0"/>
                <w:sz w:val="21"/>
                <w:szCs w:val="21"/>
                <w:u w:val="none"/>
                <w:shd w:val="clear" w:color="auto" w:fill="auto"/>
                <w:lang w:val="en-US" w:eastAsia="zh-CN" w:bidi="zh-TW"/>
              </w:rPr>
              <w:t>6AT/8AT或6MT，支持手动/自动模式。</w:t>
            </w:r>
          </w:p>
          <w:p w14:paraId="5935020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3.</w:t>
            </w:r>
            <w:r>
              <w:rPr>
                <w:rFonts w:hint="default" w:ascii="仿宋_GB2312" w:hAnsi="仿宋_GB2312" w:eastAsia="仿宋_GB2312" w:cs="仿宋_GB2312"/>
                <w:color w:val="auto"/>
                <w:kern w:val="0"/>
                <w:sz w:val="21"/>
                <w:szCs w:val="21"/>
                <w:u w:val="none"/>
                <w:shd w:val="clear" w:color="auto" w:fill="auto"/>
                <w:lang w:val="en-US" w:eastAsia="zh-CN" w:bidi="zh-TW"/>
              </w:rPr>
              <w:t>四驱系统：分时四驱（经济/高速四驱/低速四驱）或全时四驱。</w:t>
            </w:r>
          </w:p>
          <w:p w14:paraId="0A5A8ADD">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4.</w:t>
            </w:r>
            <w:r>
              <w:rPr>
                <w:rFonts w:hint="default" w:ascii="仿宋_GB2312" w:hAnsi="仿宋_GB2312" w:eastAsia="仿宋_GB2312" w:cs="仿宋_GB2312"/>
                <w:color w:val="auto"/>
                <w:kern w:val="0"/>
                <w:sz w:val="21"/>
                <w:szCs w:val="21"/>
                <w:u w:val="none"/>
                <w:shd w:val="clear" w:color="auto" w:fill="auto"/>
                <w:lang w:val="en-US" w:eastAsia="zh-CN" w:bidi="zh-TW"/>
              </w:rPr>
              <w:t xml:space="preserve"> 底盘与悬挂</w:t>
            </w:r>
            <w:r>
              <w:rPr>
                <w:rFonts w:hint="eastAsia" w:ascii="仿宋_GB2312" w:hAnsi="仿宋_GB2312" w:eastAsia="仿宋_GB2312" w:cs="仿宋_GB2312"/>
                <w:color w:val="auto"/>
                <w:kern w:val="0"/>
                <w:sz w:val="21"/>
                <w:szCs w:val="21"/>
                <w:u w:val="none"/>
                <w:shd w:val="clear" w:color="auto" w:fill="auto"/>
                <w:lang w:val="en-US" w:eastAsia="zh-CN" w:bidi="zh-TW"/>
              </w:rPr>
              <w:t>：</w:t>
            </w:r>
            <w:r>
              <w:rPr>
                <w:rFonts w:hint="default" w:ascii="仿宋_GB2312" w:hAnsi="仿宋_GB2312" w:eastAsia="仿宋_GB2312" w:cs="仿宋_GB2312"/>
                <w:color w:val="auto"/>
                <w:kern w:val="0"/>
                <w:sz w:val="21"/>
                <w:szCs w:val="21"/>
                <w:u w:val="none"/>
                <w:shd w:val="clear" w:color="auto" w:fill="auto"/>
                <w:lang w:val="en-US" w:eastAsia="zh-CN" w:bidi="zh-TW"/>
              </w:rPr>
              <w:t>非承载式车身，高强度钢材质。</w:t>
            </w:r>
          </w:p>
          <w:p w14:paraId="27F0CEDB">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pPr>
            <w:r>
              <w:rPr>
                <w:rFonts w:hint="eastAsia" w:ascii="仿宋_GB2312" w:hAnsi="仿宋_GB2312" w:eastAsia="仿宋_GB2312" w:cs="仿宋_GB2312"/>
                <w:color w:val="auto"/>
                <w:kern w:val="0"/>
                <w:sz w:val="21"/>
                <w:szCs w:val="21"/>
                <w:u w:val="none"/>
                <w:shd w:val="clear" w:color="auto" w:fill="auto"/>
                <w:lang w:val="en-US" w:eastAsia="zh-CN" w:bidi="zh-TW"/>
              </w:rPr>
              <w:t>5.技术性能</w:t>
            </w:r>
            <w:r>
              <w:rPr>
                <w:rFonts w:hint="default" w:ascii="仿宋_GB2312" w:hAnsi="仿宋_GB2312" w:eastAsia="仿宋_GB2312" w:cs="仿宋_GB2312"/>
                <w:color w:val="auto"/>
                <w:kern w:val="0"/>
                <w:sz w:val="21"/>
                <w:szCs w:val="21"/>
                <w:u w:val="none"/>
                <w:shd w:val="clear" w:color="auto" w:fill="auto"/>
                <w:lang w:val="en-US" w:eastAsia="zh-CN" w:bidi="zh-TW"/>
              </w:rPr>
              <w:t>：兼顾越野、载货与公路性能，侧重低扭输出、可靠四驱及高通过性。</w:t>
            </w:r>
          </w:p>
        </w:tc>
        <w:tc>
          <w:tcPr>
            <w:tcW w:w="634" w:type="pct"/>
            <w:tcBorders>
              <w:tl2br w:val="nil"/>
              <w:tr2bl w:val="nil"/>
            </w:tcBorders>
            <w:shd w:val="clear" w:color="auto" w:fill="FFFFFF"/>
            <w:noWrap w:val="0"/>
            <w:vAlign w:val="center"/>
          </w:tcPr>
          <w:p w14:paraId="0F663313">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550元/天</w:t>
            </w:r>
          </w:p>
        </w:tc>
        <w:tc>
          <w:tcPr>
            <w:tcW w:w="724" w:type="pct"/>
            <w:vMerge w:val="continue"/>
            <w:tcBorders>
              <w:tl2br w:val="nil"/>
              <w:tr2bl w:val="nil"/>
            </w:tcBorders>
            <w:shd w:val="clear" w:color="auto" w:fill="FFFFFF"/>
            <w:noWrap w:val="0"/>
            <w:vAlign w:val="center"/>
          </w:tcPr>
          <w:p w14:paraId="2ABE1A32">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right="0" w:firstLine="0" w:firstLineChars="0"/>
              <w:jc w:val="both"/>
              <w:textAlignment w:val="auto"/>
              <w:rPr>
                <w:rFonts w:hint="eastAsia" w:ascii="仿宋_GB2312" w:hAnsi="仿宋_GB2312" w:eastAsia="仿宋_GB2312" w:cs="仿宋_GB2312"/>
                <w:color w:val="000000"/>
                <w:spacing w:val="0"/>
                <w:w w:val="100"/>
                <w:kern w:val="2"/>
                <w:position w:val="0"/>
                <w:sz w:val="24"/>
                <w:szCs w:val="24"/>
                <w:u w:val="none"/>
                <w:shd w:val="clear" w:color="auto" w:fill="auto"/>
                <w:lang w:val="en-US" w:eastAsia="zh-CN" w:bidi="ar-SA"/>
              </w:rPr>
            </w:pPr>
          </w:p>
        </w:tc>
      </w:tr>
      <w:tr w14:paraId="3B5D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2" w:hRule="exact"/>
          <w:jc w:val="center"/>
        </w:trPr>
        <w:tc>
          <w:tcPr>
            <w:tcW w:w="337" w:type="pct"/>
            <w:tcBorders>
              <w:tl2br w:val="nil"/>
              <w:tr2bl w:val="nil"/>
            </w:tcBorders>
            <w:shd w:val="clear" w:color="auto" w:fill="FFFFFF"/>
            <w:noWrap w:val="0"/>
            <w:vAlign w:val="center"/>
          </w:tcPr>
          <w:p w14:paraId="2C5FEAE7">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974706"/>
                <w:spacing w:val="0"/>
                <w:w w:val="100"/>
                <w:position w:val="0"/>
                <w:sz w:val="24"/>
                <w:szCs w:val="24"/>
                <w:highlight w:val="none"/>
                <w:lang w:val="en-US" w:eastAsia="zh-CN"/>
              </w:rPr>
            </w:pPr>
            <w:r>
              <w:rPr>
                <w:rFonts w:hint="eastAsia" w:ascii="仿宋_GB2312" w:hAnsi="仿宋_GB2312" w:eastAsia="仿宋_GB2312" w:cs="仿宋_GB2312"/>
                <w:color w:val="974706"/>
                <w:spacing w:val="0"/>
                <w:w w:val="100"/>
                <w:position w:val="0"/>
                <w:sz w:val="24"/>
                <w:szCs w:val="24"/>
                <w:highlight w:val="none"/>
                <w:lang w:val="en-US" w:eastAsia="zh-CN"/>
              </w:rPr>
              <w:t>4</w:t>
            </w:r>
          </w:p>
        </w:tc>
        <w:tc>
          <w:tcPr>
            <w:tcW w:w="700" w:type="pct"/>
            <w:tcBorders>
              <w:tl2br w:val="nil"/>
              <w:tr2bl w:val="nil"/>
            </w:tcBorders>
            <w:shd w:val="clear" w:color="auto" w:fill="FFFFFF"/>
            <w:noWrap w:val="0"/>
            <w:vAlign w:val="center"/>
          </w:tcPr>
          <w:p w14:paraId="30053E51">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auto"/>
                <w:spacing w:val="0"/>
                <w:w w:val="100"/>
                <w:position w:val="0"/>
                <w:sz w:val="24"/>
                <w:szCs w:val="24"/>
                <w:highlight w:val="none"/>
                <w:lang w:eastAsia="zh-CN"/>
              </w:rPr>
            </w:pPr>
            <w:r>
              <w:rPr>
                <w:rFonts w:hint="eastAsia" w:ascii="仿宋_GB2312" w:hAnsi="仿宋_GB2312" w:eastAsia="仿宋_GB2312" w:cs="仿宋_GB2312"/>
                <w:color w:val="auto"/>
                <w:spacing w:val="0"/>
                <w:w w:val="100"/>
                <w:position w:val="0"/>
                <w:sz w:val="24"/>
                <w:szCs w:val="24"/>
                <w:highlight w:val="none"/>
                <w:lang w:val="zh-CN" w:eastAsia="zh-CN"/>
              </w:rPr>
              <w:t>商务车</w:t>
            </w:r>
          </w:p>
        </w:tc>
        <w:tc>
          <w:tcPr>
            <w:tcW w:w="418" w:type="pct"/>
            <w:tcBorders>
              <w:tl2br w:val="nil"/>
              <w:tr2bl w:val="nil"/>
            </w:tcBorders>
            <w:shd w:val="clear" w:color="auto" w:fill="FFFFFF"/>
            <w:noWrap w:val="0"/>
            <w:vAlign w:val="center"/>
          </w:tcPr>
          <w:p w14:paraId="213E72EA">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right="0" w:firstLine="0" w:firstLineChars="0"/>
              <w:jc w:val="center"/>
              <w:textAlignment w:val="auto"/>
              <w:rPr>
                <w:rFonts w:hint="eastAsia" w:ascii="仿宋_GB2312" w:hAnsi="仿宋_GB2312" w:eastAsia="仿宋_GB2312" w:cs="仿宋_GB2312"/>
                <w:b w:val="0"/>
                <w:bCs w:val="0"/>
                <w:color w:val="auto"/>
                <w:spacing w:val="0"/>
                <w:w w:val="100"/>
                <w:kern w:val="2"/>
                <w:position w:val="0"/>
                <w:sz w:val="24"/>
                <w:szCs w:val="24"/>
                <w:highlight w:val="none"/>
                <w:u w:val="none"/>
                <w:shd w:val="clear" w:color="auto" w:fill="auto"/>
                <w:lang w:val="zh-TW" w:eastAsia="zh-TW" w:bidi="zh-TW"/>
              </w:rPr>
            </w:pPr>
            <w:r>
              <w:rPr>
                <w:rFonts w:hint="eastAsia" w:ascii="仿宋_GB2312" w:hAnsi="仿宋_GB2312" w:eastAsia="仿宋_GB2312" w:cs="仿宋_GB2312"/>
                <w:color w:val="auto"/>
                <w:spacing w:val="0"/>
                <w:w w:val="100"/>
                <w:kern w:val="2"/>
                <w:position w:val="0"/>
                <w:sz w:val="24"/>
                <w:szCs w:val="24"/>
                <w:highlight w:val="none"/>
                <w:u w:val="none"/>
                <w:shd w:val="clear" w:color="auto" w:fill="auto"/>
                <w:lang w:val="en-US" w:eastAsia="zh-CN" w:bidi="zh-TW"/>
              </w:rPr>
              <w:t>辆</w:t>
            </w:r>
          </w:p>
        </w:tc>
        <w:tc>
          <w:tcPr>
            <w:tcW w:w="386" w:type="pct"/>
            <w:tcBorders>
              <w:tl2br w:val="nil"/>
              <w:tr2bl w:val="nil"/>
            </w:tcBorders>
            <w:shd w:val="clear" w:color="auto" w:fill="FFFFFF"/>
            <w:noWrap w:val="0"/>
            <w:vAlign w:val="center"/>
          </w:tcPr>
          <w:p w14:paraId="28B6A227">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right="0" w:firstLine="0" w:firstLineChars="0"/>
              <w:jc w:val="center"/>
              <w:textAlignment w:val="auto"/>
              <w:rPr>
                <w:rFonts w:hint="default" w:ascii="仿宋_GB2312" w:hAnsi="仿宋_GB2312" w:eastAsia="仿宋_GB2312" w:cs="仿宋_GB2312"/>
                <w:color w:val="auto"/>
                <w:spacing w:val="0"/>
                <w:w w:val="100"/>
                <w:kern w:val="2"/>
                <w:position w:val="0"/>
                <w:sz w:val="24"/>
                <w:szCs w:val="24"/>
                <w:highlight w:val="none"/>
                <w:u w:val="none"/>
                <w:shd w:val="clear" w:color="auto" w:fill="auto"/>
                <w:lang w:val="en-US" w:eastAsia="zh-CN" w:bidi="ar-SA"/>
              </w:rPr>
            </w:pPr>
            <w:r>
              <w:rPr>
                <w:rFonts w:hint="eastAsia" w:ascii="仿宋_GB2312" w:hAnsi="仿宋_GB2312" w:eastAsia="仿宋_GB2312" w:cs="仿宋_GB2312"/>
                <w:color w:val="auto"/>
                <w:spacing w:val="0"/>
                <w:w w:val="100"/>
                <w:kern w:val="2"/>
                <w:position w:val="0"/>
                <w:sz w:val="24"/>
                <w:szCs w:val="24"/>
                <w:highlight w:val="none"/>
                <w:u w:val="none"/>
                <w:shd w:val="clear" w:color="auto" w:fill="auto"/>
                <w:lang w:val="en-US" w:eastAsia="zh-CN" w:bidi="ar-SA"/>
              </w:rPr>
              <w:t>3</w:t>
            </w:r>
          </w:p>
        </w:tc>
        <w:tc>
          <w:tcPr>
            <w:tcW w:w="1798" w:type="pct"/>
            <w:tcBorders>
              <w:tl2br w:val="nil"/>
              <w:tr2bl w:val="nil"/>
            </w:tcBorders>
            <w:shd w:val="clear" w:color="auto" w:fill="FFFFFF"/>
            <w:noWrap w:val="0"/>
            <w:vAlign w:val="center"/>
          </w:tcPr>
          <w:p w14:paraId="017C4ADD">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1.</w:t>
            </w:r>
            <w:r>
              <w:rPr>
                <w:rFonts w:hint="default" w:ascii="仿宋_GB2312" w:hAnsi="仿宋_GB2312" w:eastAsia="仿宋_GB2312" w:cs="仿宋_GB2312"/>
                <w:color w:val="auto"/>
                <w:kern w:val="0"/>
                <w:sz w:val="21"/>
                <w:szCs w:val="21"/>
                <w:u w:val="none"/>
                <w:shd w:val="clear" w:color="auto" w:fill="auto"/>
                <w:lang w:val="en-US" w:eastAsia="zh-CN" w:bidi="zh-TW"/>
              </w:rPr>
              <w:t>动力系统</w:t>
            </w:r>
            <w:r>
              <w:rPr>
                <w:rFonts w:hint="eastAsia" w:ascii="仿宋_GB2312" w:hAnsi="仿宋_GB2312" w:eastAsia="仿宋_GB2312" w:cs="仿宋_GB2312"/>
                <w:color w:val="auto"/>
                <w:kern w:val="0"/>
                <w:sz w:val="21"/>
                <w:szCs w:val="21"/>
                <w:u w:val="none"/>
                <w:shd w:val="clear" w:color="auto" w:fill="auto"/>
                <w:lang w:val="en-US" w:eastAsia="zh-CN" w:bidi="zh-TW"/>
              </w:rPr>
              <w:t>：</w:t>
            </w:r>
          </w:p>
          <w:p w14:paraId="6956A183">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default" w:ascii="仿宋_GB2312" w:hAnsi="仿宋_GB2312" w:eastAsia="仿宋_GB2312" w:cs="仿宋_GB2312"/>
                <w:color w:val="auto"/>
                <w:kern w:val="0"/>
                <w:sz w:val="21"/>
                <w:szCs w:val="21"/>
                <w:u w:val="none"/>
                <w:shd w:val="clear" w:color="auto" w:fill="auto"/>
                <w:lang w:val="en-US" w:eastAsia="zh-CN" w:bidi="zh-TW"/>
              </w:rPr>
              <w:t>发动机：2.</w:t>
            </w:r>
            <w:r>
              <w:rPr>
                <w:rFonts w:hint="eastAsia" w:ascii="仿宋_GB2312" w:hAnsi="仿宋_GB2312" w:eastAsia="仿宋_GB2312" w:cs="仿宋_GB2312"/>
                <w:color w:val="auto"/>
                <w:kern w:val="0"/>
                <w:sz w:val="21"/>
                <w:szCs w:val="21"/>
                <w:u w:val="none"/>
                <w:shd w:val="clear" w:color="auto" w:fill="auto"/>
                <w:lang w:val="en-US" w:eastAsia="zh-CN" w:bidi="zh-TW"/>
              </w:rPr>
              <w:t>0或者更高排量，</w:t>
            </w:r>
            <w:r>
              <w:rPr>
                <w:rFonts w:hint="default" w:ascii="仿宋_GB2312" w:hAnsi="仿宋_GB2312" w:eastAsia="仿宋_GB2312" w:cs="仿宋_GB2312"/>
                <w:color w:val="auto"/>
                <w:kern w:val="0"/>
                <w:sz w:val="21"/>
                <w:szCs w:val="21"/>
                <w:u w:val="none"/>
                <w:shd w:val="clear" w:color="auto" w:fill="auto"/>
                <w:lang w:val="en-US" w:eastAsia="zh-CN" w:bidi="zh-TW"/>
              </w:rPr>
              <w:t>变速箱：6AT/7DCT（经济型）</w:t>
            </w:r>
          </w:p>
          <w:p w14:paraId="3DDF5AB1">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2、</w:t>
            </w:r>
            <w:r>
              <w:rPr>
                <w:rFonts w:hint="default" w:ascii="仿宋_GB2312" w:hAnsi="仿宋_GB2312" w:eastAsia="仿宋_GB2312" w:cs="仿宋_GB2312"/>
                <w:color w:val="auto"/>
                <w:kern w:val="0"/>
                <w:sz w:val="21"/>
                <w:szCs w:val="21"/>
                <w:u w:val="none"/>
                <w:shd w:val="clear" w:color="auto" w:fill="auto"/>
                <w:lang w:val="en-US" w:eastAsia="zh-CN" w:bidi="zh-TW"/>
              </w:rPr>
              <w:t>座椅布局：2+2+3（7座MPV）。</w:t>
            </w:r>
          </w:p>
          <w:p w14:paraId="23BC6774">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rightChars="0" w:firstLine="0" w:firstLineChars="0"/>
              <w:jc w:val="left"/>
              <w:textAlignment w:val="auto"/>
              <w:rPr>
                <w:rFonts w:hint="default" w:ascii="仿宋_GB2312" w:hAnsi="仿宋_GB2312" w:eastAsia="仿宋_GB2312" w:cs="仿宋_GB2312"/>
                <w:color w:val="auto"/>
                <w:spacing w:val="0"/>
                <w:w w:val="100"/>
                <w:kern w:val="2"/>
                <w:position w:val="0"/>
                <w:sz w:val="24"/>
                <w:szCs w:val="24"/>
                <w:highlight w:val="none"/>
                <w:u w:val="none"/>
                <w:shd w:val="clear" w:color="auto" w:fill="auto"/>
                <w:lang w:val="en-US" w:eastAsia="zh-CN" w:bidi="ar-SA"/>
              </w:rPr>
            </w:pPr>
            <w:r>
              <w:rPr>
                <w:rFonts w:hint="eastAsia" w:ascii="仿宋_GB2312" w:hAnsi="仿宋_GB2312" w:eastAsia="仿宋_GB2312" w:cs="仿宋_GB2312"/>
                <w:color w:val="auto"/>
                <w:kern w:val="0"/>
                <w:sz w:val="21"/>
                <w:szCs w:val="21"/>
                <w:u w:val="none"/>
                <w:shd w:val="clear" w:color="auto" w:fill="auto"/>
                <w:lang w:val="en-US" w:eastAsia="zh-CN" w:bidi="zh-TW"/>
              </w:rPr>
              <w:t>3、技术性能</w:t>
            </w:r>
            <w:r>
              <w:rPr>
                <w:rFonts w:hint="default" w:ascii="仿宋_GB2312" w:hAnsi="仿宋_GB2312" w:eastAsia="仿宋_GB2312" w:cs="仿宋_GB2312"/>
                <w:color w:val="auto"/>
                <w:kern w:val="0"/>
                <w:sz w:val="21"/>
                <w:szCs w:val="21"/>
                <w:u w:val="none"/>
                <w:shd w:val="clear" w:color="auto" w:fill="auto"/>
                <w:lang w:val="en-US" w:eastAsia="zh-CN" w:bidi="zh-TW"/>
              </w:rPr>
              <w:t>：空间</w:t>
            </w:r>
            <w:r>
              <w:rPr>
                <w:rFonts w:hint="eastAsia" w:ascii="仿宋_GB2312" w:hAnsi="仿宋_GB2312" w:eastAsia="仿宋_GB2312" w:cs="仿宋_GB2312"/>
                <w:color w:val="auto"/>
                <w:kern w:val="0"/>
                <w:sz w:val="21"/>
                <w:szCs w:val="21"/>
                <w:u w:val="none"/>
                <w:shd w:val="clear" w:color="auto" w:fill="auto"/>
                <w:lang w:val="en-US" w:eastAsia="zh-CN" w:bidi="zh-TW"/>
              </w:rPr>
              <w:t>大</w:t>
            </w:r>
            <w:r>
              <w:rPr>
                <w:rFonts w:hint="default" w:ascii="仿宋_GB2312" w:hAnsi="仿宋_GB2312" w:eastAsia="仿宋_GB2312" w:cs="仿宋_GB2312"/>
                <w:color w:val="auto"/>
                <w:kern w:val="0"/>
                <w:sz w:val="21"/>
                <w:szCs w:val="21"/>
                <w:u w:val="none"/>
                <w:shd w:val="clear" w:color="auto" w:fill="auto"/>
                <w:lang w:val="en-US" w:eastAsia="zh-CN" w:bidi="zh-TW"/>
              </w:rPr>
              <w:t>轴距长、</w:t>
            </w:r>
            <w:r>
              <w:rPr>
                <w:rFonts w:hint="eastAsia" w:ascii="仿宋_GB2312" w:hAnsi="仿宋_GB2312" w:eastAsia="仿宋_GB2312" w:cs="仿宋_GB2312"/>
                <w:color w:val="auto"/>
                <w:kern w:val="0"/>
                <w:sz w:val="21"/>
                <w:szCs w:val="21"/>
                <w:u w:val="none"/>
                <w:shd w:val="clear" w:color="auto" w:fill="auto"/>
                <w:lang w:val="en-US" w:eastAsia="zh-CN" w:bidi="zh-TW"/>
              </w:rPr>
              <w:t>侧重舒适性。</w:t>
            </w:r>
          </w:p>
        </w:tc>
        <w:tc>
          <w:tcPr>
            <w:tcW w:w="634" w:type="pct"/>
            <w:tcBorders>
              <w:tl2br w:val="nil"/>
              <w:tr2bl w:val="nil"/>
            </w:tcBorders>
            <w:shd w:val="clear" w:color="auto" w:fill="FFFFFF"/>
            <w:noWrap w:val="0"/>
            <w:vAlign w:val="center"/>
          </w:tcPr>
          <w:p w14:paraId="27E9DB93">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900元/天</w:t>
            </w:r>
          </w:p>
        </w:tc>
        <w:tc>
          <w:tcPr>
            <w:tcW w:w="724" w:type="pct"/>
            <w:vMerge w:val="continue"/>
            <w:tcBorders>
              <w:tl2br w:val="nil"/>
              <w:tr2bl w:val="nil"/>
            </w:tcBorders>
            <w:shd w:val="clear" w:color="auto" w:fill="FFFFFF"/>
            <w:noWrap w:val="0"/>
            <w:vAlign w:val="center"/>
          </w:tcPr>
          <w:p w14:paraId="5348E6B0">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right="0" w:firstLine="0" w:firstLineChars="0"/>
              <w:jc w:val="both"/>
              <w:textAlignment w:val="auto"/>
              <w:rPr>
                <w:rFonts w:hint="eastAsia" w:ascii="仿宋_GB2312" w:hAnsi="仿宋_GB2312" w:eastAsia="仿宋_GB2312" w:cs="仿宋_GB2312"/>
                <w:color w:val="000000"/>
                <w:spacing w:val="0"/>
                <w:w w:val="100"/>
                <w:kern w:val="2"/>
                <w:position w:val="0"/>
                <w:sz w:val="24"/>
                <w:szCs w:val="24"/>
                <w:u w:val="none"/>
                <w:shd w:val="clear" w:color="auto" w:fill="auto"/>
                <w:lang w:val="en-US" w:eastAsia="zh-CN" w:bidi="ar-SA"/>
              </w:rPr>
            </w:pPr>
          </w:p>
        </w:tc>
      </w:tr>
      <w:tr w14:paraId="0A07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1" w:hRule="exact"/>
          <w:jc w:val="center"/>
        </w:trPr>
        <w:tc>
          <w:tcPr>
            <w:tcW w:w="337" w:type="pct"/>
            <w:tcBorders>
              <w:tl2br w:val="nil"/>
              <w:tr2bl w:val="nil"/>
            </w:tcBorders>
            <w:shd w:val="clear" w:color="auto" w:fill="FFFFFF"/>
            <w:noWrap w:val="0"/>
            <w:vAlign w:val="center"/>
          </w:tcPr>
          <w:p w14:paraId="16253496">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备注</w:t>
            </w:r>
          </w:p>
        </w:tc>
        <w:tc>
          <w:tcPr>
            <w:tcW w:w="4662" w:type="pct"/>
            <w:gridSpan w:val="6"/>
            <w:tcBorders>
              <w:tl2br w:val="nil"/>
              <w:tr2bl w:val="nil"/>
            </w:tcBorders>
            <w:shd w:val="clear" w:color="auto" w:fill="FFFFFF"/>
            <w:noWrap w:val="0"/>
            <w:vAlign w:val="center"/>
          </w:tcPr>
          <w:p w14:paraId="6540E948">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right="0" w:firstLine="0" w:firstLineChars="0"/>
              <w:jc w:val="both"/>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此次报价包括车辆租赁费、车辆检验费、车辆维修费、司机工资、车辆审车费、保险费、税金及其他不可预见费等全部费用（根据实际情况约定）。</w:t>
            </w:r>
          </w:p>
        </w:tc>
      </w:tr>
      <w:bookmarkEnd w:id="1"/>
      <w:bookmarkEnd w:id="2"/>
    </w:tbl>
    <w:p w14:paraId="7F704417">
      <w:pPr>
        <w:widowControl/>
        <w:numPr>
          <w:ilvl w:val="0"/>
          <w:numId w:val="0"/>
        </w:numPr>
        <w:spacing w:before="480" w:beforeLines="200" w:after="480" w:afterLines="200" w:line="240" w:lineRule="auto"/>
        <w:jc w:val="both"/>
        <w:outlineLvl w:val="9"/>
        <w:rPr>
          <w:rFonts w:hint="eastAsia" w:ascii="宋体" w:hAnsi="宋体"/>
          <w:b/>
          <w:bCs/>
          <w:color w:val="auto"/>
          <w:kern w:val="0"/>
          <w:sz w:val="36"/>
          <w:szCs w:val="36"/>
          <w:highlight w:val="none"/>
        </w:rPr>
      </w:pPr>
    </w:p>
    <w:p w14:paraId="43698F3A">
      <w:bookmarkStart w:id="4" w:name="_GoBack"/>
      <w:bookmarkEnd w:id="4"/>
    </w:p>
    <w:sectPr>
      <w:headerReference r:id="rId5" w:type="default"/>
      <w:footerReference r:id="rId6" w:type="default"/>
      <w:pgSz w:w="11906" w:h="16838"/>
      <w:pgMar w:top="1560" w:right="1531" w:bottom="568" w:left="1588" w:header="1021" w:footer="866"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DA74">
    <w:pPr>
      <w:pStyle w:val="2"/>
      <w:ind w:left="0" w:leftChars="0" w:firstLine="0" w:firstLineChars="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B96819">
                          <w:pPr>
                            <w:pStyle w:val="2"/>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00B96819">
                    <w:pPr>
                      <w:pStyle w:val="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93073">
    <w:pPr>
      <w:pStyle w:val="3"/>
      <w:pBdr>
        <w:bottom w:val="none" w:color="auto" w:sz="0" w:space="0"/>
      </w:pBdr>
      <w:ind w:firstLine="0" w:firstLineChars="0"/>
      <w:jc w:val="both"/>
      <w:rPr>
        <w:rFonts w:hint="eastAsia" w:ascii="仿宋" w:hAnsi="仿宋" w:eastAsia="仿宋"/>
        <w:b/>
        <w:i/>
        <w:sz w:val="24"/>
        <w:szCs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F2B6F"/>
    <w:rsid w:val="21E67104"/>
    <w:rsid w:val="286D547B"/>
    <w:rsid w:val="354F78E6"/>
    <w:rsid w:val="3E0B623D"/>
    <w:rsid w:val="499135EE"/>
    <w:rsid w:val="49F36EFC"/>
    <w:rsid w:val="621E5D1D"/>
    <w:rsid w:val="632769D7"/>
    <w:rsid w:val="66415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642</Words>
  <Characters>722</Characters>
  <Lines>0</Lines>
  <Paragraphs>0</Paragraphs>
  <TotalTime>0</TotalTime>
  <ScaleCrop>false</ScaleCrop>
  <LinksUpToDate>false</LinksUpToDate>
  <CharactersWithSpaces>726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2025-04-11T07:53:00Z</dcterms:created>
  <dc:creator>Administrator</dc:creator>
  <cp:lastModifiedBy>不许人间见白头</cp:lastModifiedBy>
  <dcterms:modified xsi:type="dcterms:W3CDTF">2025-05-12T08:48:53Z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eyJoZGlkIjoiYTE3MDc1NWVlYzNlMGIyMzBmMDM3ZmZjMzFlZDFlMGIiLCJ1c2VySWQiOiIxMDIwMDkwNjU5In0=</vt:lpwstr>
  </property>
  <property fmtid="{D5CDD505-2E9C-101B-9397-08002B2CF9AE}" pid="4" name="ICV">
    <vt:lpwstr>0F4BFEE68B5B4D1385CBDD0BEBB56397_12</vt:lpwstr>
  </property>
</Properties>
</file>