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A266">
      <w:pPr>
        <w:numPr>
          <w:numId w:val="0"/>
        </w:numPr>
        <w:bidi w:val="0"/>
        <w:jc w:val="both"/>
        <w:rPr>
          <w:rFonts w:hint="eastAsia" w:ascii="宋体" w:hAnsi="宋体"/>
          <w:b/>
          <w:bCs/>
          <w:color w:val="auto"/>
          <w:kern w:val="0"/>
          <w:sz w:val="36"/>
          <w:szCs w:val="36"/>
          <w:highlight w:val="none"/>
        </w:rPr>
      </w:pPr>
      <w:r>
        <w:rPr>
          <w:rFonts w:hint="eastAsia" w:ascii="宋体" w:hAnsi="宋体"/>
          <w:b/>
          <w:bCs/>
          <w:color w:val="auto"/>
          <w:kern w:val="0"/>
          <w:sz w:val="36"/>
          <w:szCs w:val="36"/>
          <w:highlight w:val="none"/>
          <w:lang w:val="en-US" w:eastAsia="zh-CN"/>
        </w:rPr>
        <w:t>附件1：采购需求</w:t>
      </w:r>
    </w:p>
    <w:tbl>
      <w:tblPr>
        <w:tblStyle w:val="4"/>
        <w:tblpPr w:leftFromText="180" w:rightFromText="180" w:vertAnchor="text" w:horzAnchor="page" w:tblpXSpec="center" w:tblpY="621"/>
        <w:tblOverlap w:val="never"/>
        <w:tblW w:w="6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3"/>
        <w:gridCol w:w="1424"/>
        <w:gridCol w:w="842"/>
        <w:gridCol w:w="787"/>
        <w:gridCol w:w="4031"/>
        <w:gridCol w:w="1394"/>
        <w:gridCol w:w="1446"/>
      </w:tblGrid>
      <w:tr w14:paraId="000A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2" w:hRule="exact"/>
          <w:jc w:val="center"/>
        </w:trPr>
        <w:tc>
          <w:tcPr>
            <w:tcW w:w="322" w:type="pct"/>
            <w:tcBorders>
              <w:tl2br w:val="nil"/>
              <w:tr2bl w:val="nil"/>
            </w:tcBorders>
            <w:shd w:val="clear" w:color="auto" w:fill="FFFFFF"/>
            <w:noWrap w:val="0"/>
            <w:vAlign w:val="center"/>
          </w:tcPr>
          <w:p w14:paraId="27F84141">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zh-TW" w:eastAsia="zh-TW"/>
              </w:rPr>
            </w:pPr>
            <w:bookmarkStart w:id="0" w:name="_Toc28078216"/>
            <w:bookmarkStart w:id="1" w:name="_Toc31919"/>
            <w:r>
              <w:rPr>
                <w:rFonts w:hint="eastAsia" w:ascii="仿宋_GB2312" w:hAnsi="仿宋_GB2312" w:eastAsia="仿宋_GB2312" w:cs="仿宋_GB2312"/>
                <w:color w:val="000000"/>
                <w:spacing w:val="0"/>
                <w:w w:val="100"/>
                <w:position w:val="0"/>
                <w:sz w:val="24"/>
                <w:szCs w:val="24"/>
                <w:lang w:val="zh-CN" w:eastAsia="zh-TW"/>
              </w:rPr>
              <w:t>序号</w:t>
            </w:r>
          </w:p>
        </w:tc>
        <w:tc>
          <w:tcPr>
            <w:tcW w:w="671" w:type="pct"/>
            <w:tcBorders>
              <w:tl2br w:val="nil"/>
              <w:tr2bl w:val="nil"/>
            </w:tcBorders>
            <w:shd w:val="clear" w:color="auto" w:fill="FFFFFF"/>
            <w:noWrap w:val="0"/>
            <w:vAlign w:val="center"/>
          </w:tcPr>
          <w:p w14:paraId="051BBF71">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zh-TW" w:eastAsia="zh-TW"/>
              </w:rPr>
            </w:pPr>
            <w:r>
              <w:rPr>
                <w:rFonts w:hint="eastAsia" w:ascii="仿宋_GB2312" w:hAnsi="仿宋_GB2312" w:eastAsia="仿宋_GB2312" w:cs="仿宋_GB2312"/>
                <w:color w:val="000000"/>
                <w:spacing w:val="0"/>
                <w:w w:val="100"/>
                <w:position w:val="0"/>
                <w:sz w:val="24"/>
                <w:szCs w:val="24"/>
                <w:lang w:val="zh-CN" w:eastAsia="zh-TW"/>
              </w:rPr>
              <w:t>类别</w:t>
            </w:r>
          </w:p>
        </w:tc>
        <w:tc>
          <w:tcPr>
            <w:tcW w:w="397" w:type="pct"/>
            <w:tcBorders>
              <w:tl2br w:val="nil"/>
              <w:tr2bl w:val="nil"/>
            </w:tcBorders>
            <w:shd w:val="clear" w:color="auto" w:fill="FFFFFF"/>
            <w:noWrap w:val="0"/>
            <w:vAlign w:val="center"/>
          </w:tcPr>
          <w:p w14:paraId="5788FCE7">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单位</w:t>
            </w:r>
          </w:p>
        </w:tc>
        <w:tc>
          <w:tcPr>
            <w:tcW w:w="371" w:type="pct"/>
            <w:tcBorders>
              <w:tl2br w:val="nil"/>
              <w:tr2bl w:val="nil"/>
            </w:tcBorders>
            <w:shd w:val="clear" w:color="auto" w:fill="FFFFFF"/>
            <w:noWrap w:val="0"/>
            <w:vAlign w:val="center"/>
          </w:tcPr>
          <w:p w14:paraId="2B60C958">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数量</w:t>
            </w:r>
          </w:p>
        </w:tc>
        <w:tc>
          <w:tcPr>
            <w:tcW w:w="1900" w:type="pct"/>
            <w:tcBorders>
              <w:tl2br w:val="nil"/>
              <w:tr2bl w:val="nil"/>
            </w:tcBorders>
            <w:shd w:val="clear" w:color="auto" w:fill="FFFFFF"/>
            <w:noWrap w:val="0"/>
            <w:vAlign w:val="center"/>
          </w:tcPr>
          <w:p w14:paraId="5DB9BC6A">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规格</w:t>
            </w:r>
          </w:p>
        </w:tc>
        <w:tc>
          <w:tcPr>
            <w:tcW w:w="657" w:type="pct"/>
            <w:tcBorders>
              <w:tl2br w:val="nil"/>
              <w:tr2bl w:val="nil"/>
            </w:tcBorders>
            <w:shd w:val="clear" w:color="auto" w:fill="FFFFFF"/>
            <w:noWrap w:val="0"/>
            <w:vAlign w:val="center"/>
          </w:tcPr>
          <w:p w14:paraId="4412FA01">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bookmarkStart w:id="2" w:name="_Toc14716"/>
            <w:r>
              <w:rPr>
                <w:rFonts w:hint="eastAsia" w:ascii="仿宋_GB2312" w:hAnsi="仿宋_GB2312" w:eastAsia="仿宋_GB2312" w:cs="仿宋_GB2312"/>
                <w:color w:val="auto"/>
                <w:kern w:val="0"/>
                <w:sz w:val="21"/>
                <w:szCs w:val="21"/>
                <w:u w:val="none"/>
                <w:shd w:val="clear" w:color="auto" w:fill="auto"/>
                <w:lang w:val="en-US" w:eastAsia="zh-CN" w:bidi="zh-TW"/>
              </w:rPr>
              <w:t>旺季最高限价（元/天）</w:t>
            </w:r>
          </w:p>
        </w:tc>
        <w:tc>
          <w:tcPr>
            <w:tcW w:w="678" w:type="pct"/>
            <w:tcBorders>
              <w:tl2br w:val="nil"/>
              <w:tr2bl w:val="nil"/>
            </w:tcBorders>
            <w:shd w:val="clear" w:color="auto" w:fill="FFFFFF"/>
            <w:noWrap w:val="0"/>
            <w:vAlign w:val="center"/>
          </w:tcPr>
          <w:p w14:paraId="4B9DE093">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淡季最高限价</w:t>
            </w:r>
          </w:p>
          <w:p w14:paraId="1177F9CF">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（元/天）</w:t>
            </w:r>
            <w:bookmarkEnd w:id="2"/>
          </w:p>
        </w:tc>
      </w:tr>
      <w:tr w14:paraId="17A2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90" w:hRule="exact"/>
          <w:jc w:val="center"/>
        </w:trPr>
        <w:tc>
          <w:tcPr>
            <w:tcW w:w="322" w:type="pct"/>
            <w:tcBorders>
              <w:tl2br w:val="nil"/>
              <w:tr2bl w:val="nil"/>
            </w:tcBorders>
            <w:shd w:val="clear" w:color="auto" w:fill="FFFFFF"/>
            <w:noWrap w:val="0"/>
            <w:vAlign w:val="center"/>
          </w:tcPr>
          <w:p w14:paraId="2D422382">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1</w:t>
            </w:r>
          </w:p>
          <w:p w14:paraId="5E73A268">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p>
        </w:tc>
        <w:tc>
          <w:tcPr>
            <w:tcW w:w="671" w:type="pct"/>
            <w:tcBorders>
              <w:tl2br w:val="nil"/>
              <w:tr2bl w:val="nil"/>
            </w:tcBorders>
            <w:shd w:val="clear" w:color="auto" w:fill="FFFFFF"/>
            <w:noWrap w:val="0"/>
            <w:vAlign w:val="center"/>
          </w:tcPr>
          <w:p w14:paraId="4CB27813">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auto"/>
                <w:spacing w:val="0"/>
                <w:w w:val="100"/>
                <w:position w:val="0"/>
                <w:sz w:val="24"/>
                <w:szCs w:val="24"/>
                <w:lang w:val="zh-TW" w:eastAsia="zh-CN"/>
              </w:rPr>
            </w:pPr>
            <w:r>
              <w:rPr>
                <w:rFonts w:hint="eastAsia" w:ascii="仿宋_GB2312" w:hAnsi="仿宋_GB2312" w:eastAsia="仿宋_GB2312" w:cs="仿宋_GB2312"/>
                <w:color w:val="auto"/>
                <w:spacing w:val="0"/>
                <w:w w:val="100"/>
                <w:position w:val="0"/>
                <w:sz w:val="24"/>
                <w:szCs w:val="24"/>
                <w:lang w:val="zh-TW" w:eastAsia="zh-CN"/>
              </w:rPr>
              <w:t>硬派越野</w:t>
            </w:r>
          </w:p>
        </w:tc>
        <w:tc>
          <w:tcPr>
            <w:tcW w:w="397" w:type="pct"/>
            <w:tcBorders>
              <w:tl2br w:val="nil"/>
              <w:tr2bl w:val="nil"/>
            </w:tcBorders>
            <w:shd w:val="clear" w:color="auto" w:fill="FFFFFF"/>
            <w:noWrap w:val="0"/>
            <w:vAlign w:val="center"/>
          </w:tcPr>
          <w:p w14:paraId="7CB47A6D">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auto"/>
                <w:spacing w:val="0"/>
                <w:w w:val="100"/>
                <w:position w:val="0"/>
                <w:sz w:val="24"/>
                <w:szCs w:val="24"/>
                <w:lang w:val="en-US" w:eastAsia="zh-CN"/>
              </w:rPr>
            </w:pPr>
            <w:r>
              <w:rPr>
                <w:rFonts w:hint="eastAsia" w:ascii="仿宋_GB2312" w:hAnsi="仿宋_GB2312" w:eastAsia="仿宋_GB2312" w:cs="仿宋_GB2312"/>
                <w:color w:val="auto"/>
                <w:spacing w:val="0"/>
                <w:w w:val="100"/>
                <w:position w:val="0"/>
                <w:sz w:val="24"/>
                <w:szCs w:val="24"/>
                <w:lang w:val="en-US" w:eastAsia="zh-CN"/>
              </w:rPr>
              <w:t>辆</w:t>
            </w:r>
          </w:p>
        </w:tc>
        <w:tc>
          <w:tcPr>
            <w:tcW w:w="371" w:type="pct"/>
            <w:tcBorders>
              <w:tl2br w:val="nil"/>
              <w:tr2bl w:val="nil"/>
            </w:tcBorders>
            <w:shd w:val="clear" w:color="auto" w:fill="FFFFFF"/>
            <w:noWrap w:val="0"/>
            <w:vAlign w:val="center"/>
          </w:tcPr>
          <w:p w14:paraId="49F2E6F6">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right="0" w:firstLine="0" w:firstLineChars="0"/>
              <w:jc w:val="center"/>
              <w:textAlignment w:val="auto"/>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t>1</w:t>
            </w:r>
          </w:p>
        </w:tc>
        <w:tc>
          <w:tcPr>
            <w:tcW w:w="1900" w:type="pct"/>
            <w:tcBorders>
              <w:tl2br w:val="nil"/>
              <w:tr2bl w:val="nil"/>
            </w:tcBorders>
            <w:shd w:val="clear" w:color="auto" w:fill="FFFFFF"/>
            <w:noWrap w:val="0"/>
            <w:vAlign w:val="center"/>
          </w:tcPr>
          <w:p w14:paraId="042A678D">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default" w:ascii="仿宋_GB2312" w:hAnsi="仿宋_GB2312" w:eastAsia="仿宋_GB2312" w:cs="仿宋_GB2312"/>
                <w:color w:val="auto"/>
                <w:kern w:val="0"/>
                <w:sz w:val="21"/>
                <w:szCs w:val="21"/>
                <w:u w:val="none"/>
                <w:shd w:val="clear" w:color="auto" w:fill="auto"/>
                <w:lang w:val="en-US" w:eastAsia="zh-CN" w:bidi="zh-TW"/>
              </w:rPr>
              <w:t>1. 动力系统</w:t>
            </w:r>
            <w:r>
              <w:rPr>
                <w:rFonts w:hint="eastAsia" w:ascii="仿宋_GB2312" w:hAnsi="仿宋_GB2312" w:eastAsia="仿宋_GB2312" w:cs="仿宋_GB2312"/>
                <w:color w:val="auto"/>
                <w:kern w:val="0"/>
                <w:sz w:val="21"/>
                <w:szCs w:val="21"/>
                <w:u w:val="none"/>
                <w:shd w:val="clear" w:color="auto" w:fill="auto"/>
                <w:lang w:val="en-US" w:eastAsia="zh-CN" w:bidi="zh-TW"/>
              </w:rPr>
              <w:t>:</w:t>
            </w:r>
          </w:p>
          <w:p w14:paraId="670543E7">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default" w:ascii="仿宋_GB2312" w:hAnsi="仿宋_GB2312" w:eastAsia="仿宋_GB2312" w:cs="仿宋_GB2312"/>
                <w:color w:val="auto"/>
                <w:kern w:val="0"/>
                <w:sz w:val="21"/>
                <w:szCs w:val="21"/>
                <w:u w:val="none"/>
                <w:shd w:val="clear" w:color="auto" w:fill="auto"/>
                <w:lang w:val="en-US" w:eastAsia="zh-CN" w:bidi="zh-TW"/>
              </w:rPr>
              <w:t>发动机：大排量柴油/汽油机（</w:t>
            </w:r>
            <w:r>
              <w:rPr>
                <w:rFonts w:hint="eastAsia" w:ascii="仿宋_GB2312" w:hAnsi="仿宋_GB2312" w:eastAsia="仿宋_GB2312" w:cs="仿宋_GB2312"/>
                <w:color w:val="auto"/>
                <w:kern w:val="0"/>
                <w:sz w:val="21"/>
                <w:szCs w:val="21"/>
                <w:u w:val="none"/>
                <w:shd w:val="clear" w:color="auto" w:fill="auto"/>
                <w:lang w:val="en-US" w:eastAsia="zh-CN" w:bidi="zh-TW"/>
              </w:rPr>
              <w:t>2</w:t>
            </w:r>
            <w:r>
              <w:rPr>
                <w:rFonts w:hint="default" w:ascii="仿宋_GB2312" w:hAnsi="仿宋_GB2312" w:eastAsia="仿宋_GB2312" w:cs="仿宋_GB2312"/>
                <w:color w:val="auto"/>
                <w:kern w:val="0"/>
                <w:sz w:val="21"/>
                <w:szCs w:val="21"/>
                <w:u w:val="none"/>
                <w:shd w:val="clear" w:color="auto" w:fill="auto"/>
                <w:lang w:val="en-US" w:eastAsia="zh-CN" w:bidi="zh-TW"/>
              </w:rPr>
              <w:t>.0L以上），低转速高扭矩（变速箱：6AT/8AT（带手动模式）或6MT，部分车型可选分动箱。</w:t>
            </w:r>
          </w:p>
          <w:p w14:paraId="3A3EE615">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2.</w:t>
            </w:r>
            <w:r>
              <w:rPr>
                <w:rFonts w:hint="default" w:ascii="仿宋_GB2312" w:hAnsi="仿宋_GB2312" w:eastAsia="仿宋_GB2312" w:cs="仿宋_GB2312"/>
                <w:color w:val="auto"/>
                <w:kern w:val="0"/>
                <w:sz w:val="21"/>
                <w:szCs w:val="21"/>
                <w:u w:val="none"/>
                <w:shd w:val="clear" w:color="auto" w:fill="auto"/>
                <w:lang w:val="en-US" w:eastAsia="zh-CN" w:bidi="zh-TW"/>
              </w:rPr>
              <w:t>四驱系统：</w:t>
            </w:r>
            <w:r>
              <w:rPr>
                <w:rFonts w:hint="eastAsia" w:ascii="仿宋_GB2312" w:hAnsi="仿宋_GB2312" w:eastAsia="仿宋_GB2312" w:cs="仿宋_GB2312"/>
                <w:color w:val="auto"/>
                <w:kern w:val="0"/>
                <w:sz w:val="21"/>
                <w:szCs w:val="21"/>
                <w:u w:val="none"/>
                <w:shd w:val="clear" w:color="auto" w:fill="auto"/>
                <w:lang w:val="en-US" w:eastAsia="zh-CN" w:bidi="zh-TW"/>
              </w:rPr>
              <w:t>分</w:t>
            </w:r>
            <w:r>
              <w:rPr>
                <w:rFonts w:hint="default" w:ascii="仿宋_GB2312" w:hAnsi="仿宋_GB2312" w:eastAsia="仿宋_GB2312" w:cs="仿宋_GB2312"/>
                <w:color w:val="auto"/>
                <w:kern w:val="0"/>
                <w:sz w:val="21"/>
                <w:szCs w:val="21"/>
                <w:u w:val="none"/>
                <w:shd w:val="clear" w:color="auto" w:fill="auto"/>
                <w:lang w:val="en-US" w:eastAsia="zh-CN" w:bidi="zh-TW"/>
              </w:rPr>
              <w:t>时四驱+中央差速锁。</w:t>
            </w:r>
          </w:p>
          <w:p w14:paraId="5CA6FAA7">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3</w:t>
            </w:r>
            <w:r>
              <w:rPr>
                <w:rFonts w:hint="default" w:ascii="仿宋_GB2312" w:hAnsi="仿宋_GB2312" w:eastAsia="仿宋_GB2312" w:cs="仿宋_GB2312"/>
                <w:color w:val="auto"/>
                <w:kern w:val="0"/>
                <w:sz w:val="21"/>
                <w:szCs w:val="21"/>
                <w:u w:val="none"/>
                <w:shd w:val="clear" w:color="auto" w:fill="auto"/>
                <w:lang w:val="en-US" w:eastAsia="zh-CN" w:bidi="zh-TW"/>
              </w:rPr>
              <w:t>. 底盘与悬挂</w:t>
            </w:r>
            <w:r>
              <w:rPr>
                <w:rFonts w:hint="eastAsia" w:ascii="仿宋_GB2312" w:hAnsi="仿宋_GB2312" w:eastAsia="仿宋_GB2312" w:cs="仿宋_GB2312"/>
                <w:color w:val="auto"/>
                <w:kern w:val="0"/>
                <w:sz w:val="21"/>
                <w:szCs w:val="21"/>
                <w:u w:val="none"/>
                <w:shd w:val="clear" w:color="auto" w:fill="auto"/>
                <w:lang w:val="en-US" w:eastAsia="zh-CN" w:bidi="zh-TW"/>
              </w:rPr>
              <w:t>：</w:t>
            </w:r>
            <w:r>
              <w:rPr>
                <w:rFonts w:hint="default" w:ascii="仿宋_GB2312" w:hAnsi="仿宋_GB2312" w:eastAsia="仿宋_GB2312" w:cs="仿宋_GB2312"/>
                <w:color w:val="auto"/>
                <w:kern w:val="0"/>
                <w:sz w:val="21"/>
                <w:szCs w:val="21"/>
                <w:u w:val="none"/>
                <w:shd w:val="clear" w:color="auto" w:fill="auto"/>
                <w:lang w:val="en-US" w:eastAsia="zh-CN" w:bidi="zh-TW"/>
              </w:rPr>
              <w:t>车架非承载式车身，梯形大梁。</w:t>
            </w:r>
          </w:p>
          <w:p w14:paraId="736F40C5">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kern w:val="0"/>
                <w:sz w:val="21"/>
                <w:szCs w:val="21"/>
                <w:u w:val="none"/>
                <w:shd w:val="clear" w:color="auto" w:fill="auto"/>
                <w:lang w:val="en-US" w:eastAsia="zh-CN" w:bidi="zh-TW"/>
              </w:rPr>
              <w:t>4、技术性能：</w:t>
            </w:r>
            <w:r>
              <w:rPr>
                <w:rFonts w:hint="default" w:ascii="仿宋_GB2312" w:hAnsi="仿宋_GB2312" w:eastAsia="仿宋_GB2312" w:cs="仿宋_GB2312"/>
                <w:color w:val="auto"/>
                <w:kern w:val="0"/>
                <w:sz w:val="21"/>
                <w:szCs w:val="21"/>
                <w:u w:val="none"/>
                <w:shd w:val="clear" w:color="auto" w:fill="auto"/>
                <w:lang w:val="en-US" w:eastAsia="zh-CN" w:bidi="zh-TW"/>
              </w:rPr>
              <w:t>机械锁+非承载+高通过性是硬派越野三大核心，兼顾低扭动力、可靠四驱和极端地形适应性。</w:t>
            </w:r>
          </w:p>
        </w:tc>
        <w:tc>
          <w:tcPr>
            <w:tcW w:w="657" w:type="pct"/>
            <w:tcBorders>
              <w:tl2br w:val="nil"/>
              <w:tr2bl w:val="nil"/>
            </w:tcBorders>
            <w:shd w:val="clear" w:color="auto" w:fill="FFFFFF"/>
            <w:noWrap w:val="0"/>
            <w:vAlign w:val="center"/>
          </w:tcPr>
          <w:p w14:paraId="7757B7F8">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rightChars="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1100</w:t>
            </w:r>
          </w:p>
        </w:tc>
        <w:tc>
          <w:tcPr>
            <w:tcW w:w="678" w:type="pct"/>
            <w:tcBorders>
              <w:tl2br w:val="nil"/>
              <w:tr2bl w:val="nil"/>
            </w:tcBorders>
            <w:shd w:val="clear" w:color="auto" w:fill="FFFFFF"/>
            <w:noWrap w:val="0"/>
            <w:vAlign w:val="center"/>
          </w:tcPr>
          <w:p w14:paraId="5A9D5EEC">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950</w:t>
            </w:r>
          </w:p>
        </w:tc>
      </w:tr>
      <w:tr w14:paraId="2EDB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51" w:hRule="exact"/>
          <w:jc w:val="center"/>
        </w:trPr>
        <w:tc>
          <w:tcPr>
            <w:tcW w:w="322" w:type="pct"/>
            <w:tcBorders>
              <w:tl2br w:val="nil"/>
              <w:tr2bl w:val="nil"/>
            </w:tcBorders>
            <w:shd w:val="clear" w:color="auto" w:fill="FFFFFF"/>
            <w:noWrap w:val="0"/>
            <w:vAlign w:val="center"/>
          </w:tcPr>
          <w:p w14:paraId="4AC0E52D">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2</w:t>
            </w:r>
          </w:p>
        </w:tc>
        <w:tc>
          <w:tcPr>
            <w:tcW w:w="671" w:type="pct"/>
            <w:tcBorders>
              <w:tl2br w:val="nil"/>
              <w:tr2bl w:val="nil"/>
            </w:tcBorders>
            <w:shd w:val="clear" w:color="auto" w:fill="FFFFFF"/>
            <w:noWrap w:val="0"/>
            <w:vAlign w:val="center"/>
          </w:tcPr>
          <w:p w14:paraId="2C5F0CA8">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auto"/>
                <w:spacing w:val="0"/>
                <w:w w:val="100"/>
                <w:position w:val="0"/>
                <w:sz w:val="24"/>
                <w:szCs w:val="24"/>
                <w:lang w:eastAsia="zh-CN"/>
              </w:rPr>
            </w:pPr>
            <w:r>
              <w:rPr>
                <w:rFonts w:hint="eastAsia" w:ascii="仿宋_GB2312" w:hAnsi="仿宋_GB2312" w:eastAsia="仿宋_GB2312" w:cs="仿宋_GB2312"/>
                <w:color w:val="auto"/>
                <w:spacing w:val="0"/>
                <w:w w:val="100"/>
                <w:position w:val="0"/>
                <w:sz w:val="24"/>
                <w:szCs w:val="24"/>
                <w:lang w:val="zh-CN" w:eastAsia="zh-CN"/>
              </w:rPr>
              <w:t>四驱suv</w:t>
            </w:r>
          </w:p>
        </w:tc>
        <w:tc>
          <w:tcPr>
            <w:tcW w:w="397" w:type="pct"/>
            <w:tcBorders>
              <w:tl2br w:val="nil"/>
              <w:tr2bl w:val="nil"/>
            </w:tcBorders>
            <w:shd w:val="clear" w:color="auto" w:fill="FFFFFF"/>
            <w:noWrap w:val="0"/>
            <w:vAlign w:val="center"/>
          </w:tcPr>
          <w:p w14:paraId="448C1504">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eastAsia" w:ascii="仿宋_GB2312" w:hAnsi="仿宋_GB2312" w:eastAsia="仿宋_GB2312" w:cs="仿宋_GB2312"/>
                <w:b w:val="0"/>
                <w:bCs w:val="0"/>
                <w:color w:val="auto"/>
                <w:spacing w:val="0"/>
                <w:w w:val="100"/>
                <w:kern w:val="2"/>
                <w:position w:val="0"/>
                <w:sz w:val="24"/>
                <w:szCs w:val="24"/>
                <w:u w:val="none"/>
                <w:shd w:val="clear" w:color="auto" w:fill="auto"/>
                <w:lang w:val="zh-TW" w:eastAsia="zh-TW" w:bidi="zh-TW"/>
              </w:rPr>
            </w:pPr>
            <w:r>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zh-TW"/>
              </w:rPr>
              <w:t>辆</w:t>
            </w:r>
          </w:p>
        </w:tc>
        <w:tc>
          <w:tcPr>
            <w:tcW w:w="371" w:type="pct"/>
            <w:tcBorders>
              <w:tl2br w:val="nil"/>
              <w:tr2bl w:val="nil"/>
            </w:tcBorders>
            <w:shd w:val="clear" w:color="auto" w:fill="FFFFFF"/>
            <w:noWrap w:val="0"/>
            <w:vAlign w:val="center"/>
          </w:tcPr>
          <w:p w14:paraId="322BDFBF">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right="0" w:firstLine="0" w:firstLineChars="0"/>
              <w:jc w:val="center"/>
              <w:textAlignment w:val="auto"/>
              <w:rPr>
                <w:rFonts w:hint="default"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t>2</w:t>
            </w:r>
          </w:p>
        </w:tc>
        <w:tc>
          <w:tcPr>
            <w:tcW w:w="1900" w:type="pct"/>
            <w:tcBorders>
              <w:tl2br w:val="nil"/>
              <w:tr2bl w:val="nil"/>
            </w:tcBorders>
            <w:shd w:val="clear" w:color="auto" w:fill="FFFFFF"/>
            <w:noWrap w:val="0"/>
            <w:vAlign w:val="center"/>
          </w:tcPr>
          <w:p w14:paraId="61B31BF5">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1. 动力系统</w:t>
            </w:r>
          </w:p>
          <w:p w14:paraId="19D789A1">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发动机：SUV：2.0T以上，变速箱：CVT或6AT/7DCT，驱动方式：分时四驱。</w:t>
            </w:r>
          </w:p>
          <w:p w14:paraId="59CFD313">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2.车架类型：承载式车身</w:t>
            </w:r>
          </w:p>
          <w:p w14:paraId="6B1B31B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kern w:val="0"/>
                <w:sz w:val="21"/>
                <w:szCs w:val="21"/>
                <w:u w:val="none"/>
                <w:shd w:val="clear" w:color="auto" w:fill="auto"/>
                <w:lang w:val="en-US" w:eastAsia="zh-CN" w:bidi="zh-TW"/>
              </w:rPr>
              <w:t>3.技术性能：侧重舒适、油耗、四驱系统、通过性。</w:t>
            </w:r>
          </w:p>
        </w:tc>
        <w:tc>
          <w:tcPr>
            <w:tcW w:w="657" w:type="pct"/>
            <w:tcBorders>
              <w:tl2br w:val="nil"/>
              <w:tr2bl w:val="nil"/>
            </w:tcBorders>
            <w:shd w:val="clear" w:color="auto" w:fill="FFFFFF"/>
            <w:noWrap w:val="0"/>
            <w:vAlign w:val="center"/>
          </w:tcPr>
          <w:p w14:paraId="7054C33C">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rightChars="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900</w:t>
            </w:r>
          </w:p>
        </w:tc>
        <w:tc>
          <w:tcPr>
            <w:tcW w:w="678" w:type="pct"/>
            <w:tcBorders>
              <w:tl2br w:val="nil"/>
              <w:tr2bl w:val="nil"/>
            </w:tcBorders>
            <w:shd w:val="clear" w:color="auto" w:fill="FFFFFF"/>
            <w:noWrap w:val="0"/>
            <w:vAlign w:val="center"/>
          </w:tcPr>
          <w:p w14:paraId="794E289E">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800</w:t>
            </w:r>
          </w:p>
        </w:tc>
      </w:tr>
      <w:tr w14:paraId="7D25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1" w:hRule="exact"/>
          <w:jc w:val="center"/>
        </w:trPr>
        <w:tc>
          <w:tcPr>
            <w:tcW w:w="322" w:type="pct"/>
            <w:tcBorders>
              <w:tl2br w:val="nil"/>
              <w:tr2bl w:val="nil"/>
            </w:tcBorders>
            <w:shd w:val="clear" w:color="auto" w:fill="FFFFFF"/>
            <w:noWrap w:val="0"/>
            <w:vAlign w:val="center"/>
          </w:tcPr>
          <w:p w14:paraId="011BACDD">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3</w:t>
            </w:r>
          </w:p>
        </w:tc>
        <w:tc>
          <w:tcPr>
            <w:tcW w:w="671" w:type="pct"/>
            <w:tcBorders>
              <w:tl2br w:val="nil"/>
              <w:tr2bl w:val="nil"/>
            </w:tcBorders>
            <w:shd w:val="clear" w:color="auto" w:fill="FFFFFF"/>
            <w:noWrap w:val="0"/>
            <w:vAlign w:val="center"/>
          </w:tcPr>
          <w:p w14:paraId="55544D83">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auto"/>
                <w:spacing w:val="0"/>
                <w:w w:val="100"/>
                <w:position w:val="0"/>
                <w:sz w:val="24"/>
                <w:szCs w:val="24"/>
                <w:lang w:eastAsia="zh-CN"/>
              </w:rPr>
            </w:pPr>
            <w:r>
              <w:rPr>
                <w:rFonts w:hint="eastAsia" w:ascii="仿宋_GB2312" w:hAnsi="仿宋_GB2312" w:eastAsia="仿宋_GB2312" w:cs="仿宋_GB2312"/>
                <w:color w:val="auto"/>
                <w:spacing w:val="0"/>
                <w:w w:val="100"/>
                <w:position w:val="0"/>
                <w:sz w:val="24"/>
                <w:szCs w:val="24"/>
                <w:lang w:val="zh-CN" w:eastAsia="zh-CN"/>
              </w:rPr>
              <w:t>四驱皮卡</w:t>
            </w:r>
          </w:p>
        </w:tc>
        <w:tc>
          <w:tcPr>
            <w:tcW w:w="397" w:type="pct"/>
            <w:tcBorders>
              <w:tl2br w:val="nil"/>
              <w:tr2bl w:val="nil"/>
            </w:tcBorders>
            <w:shd w:val="clear" w:color="auto" w:fill="FFFFFF"/>
            <w:noWrap w:val="0"/>
            <w:vAlign w:val="center"/>
          </w:tcPr>
          <w:p w14:paraId="27B7A0F9">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eastAsia" w:ascii="仿宋_GB2312" w:hAnsi="仿宋_GB2312" w:eastAsia="仿宋_GB2312" w:cs="仿宋_GB2312"/>
                <w:b w:val="0"/>
                <w:bCs w:val="0"/>
                <w:color w:val="auto"/>
                <w:spacing w:val="0"/>
                <w:w w:val="100"/>
                <w:kern w:val="2"/>
                <w:position w:val="0"/>
                <w:sz w:val="24"/>
                <w:szCs w:val="24"/>
                <w:u w:val="none"/>
                <w:shd w:val="clear" w:color="auto" w:fill="auto"/>
                <w:lang w:val="zh-TW" w:eastAsia="zh-TW" w:bidi="zh-TW"/>
              </w:rPr>
            </w:pPr>
            <w:r>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zh-TW"/>
              </w:rPr>
              <w:t>辆</w:t>
            </w:r>
          </w:p>
        </w:tc>
        <w:tc>
          <w:tcPr>
            <w:tcW w:w="371" w:type="pct"/>
            <w:tcBorders>
              <w:tl2br w:val="nil"/>
              <w:tr2bl w:val="nil"/>
            </w:tcBorders>
            <w:shd w:val="clear" w:color="auto" w:fill="FFFFFF"/>
            <w:noWrap w:val="0"/>
            <w:vAlign w:val="center"/>
          </w:tcPr>
          <w:p w14:paraId="4FFE92DE">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right="0" w:firstLine="0" w:firstLineChars="0"/>
              <w:jc w:val="center"/>
              <w:textAlignment w:val="auto"/>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t>2</w:t>
            </w:r>
          </w:p>
        </w:tc>
        <w:tc>
          <w:tcPr>
            <w:tcW w:w="1900" w:type="pct"/>
            <w:tcBorders>
              <w:tl2br w:val="nil"/>
              <w:tr2bl w:val="nil"/>
            </w:tcBorders>
            <w:shd w:val="clear" w:color="auto" w:fill="FFFFFF"/>
            <w:noWrap w:val="0"/>
            <w:vAlign w:val="center"/>
          </w:tcPr>
          <w:p w14:paraId="6B9AEB8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1.</w:t>
            </w:r>
            <w:r>
              <w:rPr>
                <w:rFonts w:hint="default" w:ascii="仿宋_GB2312" w:hAnsi="仿宋_GB2312" w:eastAsia="仿宋_GB2312" w:cs="仿宋_GB2312"/>
                <w:color w:val="auto"/>
                <w:kern w:val="0"/>
                <w:sz w:val="21"/>
                <w:szCs w:val="21"/>
                <w:u w:val="none"/>
                <w:shd w:val="clear" w:color="auto" w:fill="auto"/>
                <w:lang w:val="en-US" w:eastAsia="zh-CN" w:bidi="zh-TW"/>
              </w:rPr>
              <w:t>动力系统</w:t>
            </w:r>
            <w:r>
              <w:rPr>
                <w:rFonts w:hint="eastAsia" w:ascii="仿宋_GB2312" w:hAnsi="仿宋_GB2312" w:eastAsia="仿宋_GB2312" w:cs="仿宋_GB2312"/>
                <w:color w:val="auto"/>
                <w:kern w:val="0"/>
                <w:sz w:val="21"/>
                <w:szCs w:val="21"/>
                <w:u w:val="none"/>
                <w:shd w:val="clear" w:color="auto" w:fill="auto"/>
                <w:lang w:val="en-US" w:eastAsia="zh-CN" w:bidi="zh-TW"/>
              </w:rPr>
              <w:t>：</w:t>
            </w:r>
          </w:p>
          <w:p w14:paraId="7DDC3E0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default" w:ascii="仿宋_GB2312" w:hAnsi="仿宋_GB2312" w:eastAsia="仿宋_GB2312" w:cs="仿宋_GB2312"/>
                <w:color w:val="auto"/>
                <w:kern w:val="0"/>
                <w:sz w:val="21"/>
                <w:szCs w:val="21"/>
                <w:u w:val="none"/>
                <w:shd w:val="clear" w:color="auto" w:fill="auto"/>
                <w:lang w:val="en-US" w:eastAsia="zh-CN" w:bidi="zh-TW"/>
              </w:rPr>
              <w:t>发动机：柴油/汽油发动机，排量2.0L~3.0L，变速</w:t>
            </w:r>
            <w:r>
              <w:rPr>
                <w:rFonts w:hint="eastAsia" w:ascii="仿宋_GB2312" w:hAnsi="仿宋_GB2312" w:eastAsia="仿宋_GB2312" w:cs="仿宋_GB2312"/>
                <w:color w:val="auto"/>
                <w:kern w:val="0"/>
                <w:sz w:val="21"/>
                <w:szCs w:val="21"/>
                <w:u w:val="none"/>
                <w:shd w:val="clear" w:color="auto" w:fill="auto"/>
                <w:lang w:val="en-US" w:eastAsia="zh-CN" w:bidi="zh-TW"/>
              </w:rPr>
              <w:t>箱</w:t>
            </w:r>
            <w:r>
              <w:rPr>
                <w:rFonts w:hint="default" w:ascii="仿宋_GB2312" w:hAnsi="仿宋_GB2312" w:eastAsia="仿宋_GB2312" w:cs="仿宋_GB2312"/>
                <w:color w:val="auto"/>
                <w:kern w:val="0"/>
                <w:sz w:val="21"/>
                <w:szCs w:val="21"/>
                <w:u w:val="none"/>
                <w:shd w:val="clear" w:color="auto" w:fill="auto"/>
                <w:lang w:val="en-US" w:eastAsia="zh-CN" w:bidi="zh-TW"/>
              </w:rPr>
              <w:t>6AT/8AT或6MT，支持手动/自动模式。</w:t>
            </w:r>
          </w:p>
          <w:p w14:paraId="486DF23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3.</w:t>
            </w:r>
            <w:r>
              <w:rPr>
                <w:rFonts w:hint="default" w:ascii="仿宋_GB2312" w:hAnsi="仿宋_GB2312" w:eastAsia="仿宋_GB2312" w:cs="仿宋_GB2312"/>
                <w:color w:val="auto"/>
                <w:kern w:val="0"/>
                <w:sz w:val="21"/>
                <w:szCs w:val="21"/>
                <w:u w:val="none"/>
                <w:shd w:val="clear" w:color="auto" w:fill="auto"/>
                <w:lang w:val="en-US" w:eastAsia="zh-CN" w:bidi="zh-TW"/>
              </w:rPr>
              <w:t>四驱系统：分时四驱（经济/高速四驱/低速四驱）或全时四驱。</w:t>
            </w:r>
          </w:p>
          <w:p w14:paraId="58A6A83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4.</w:t>
            </w:r>
            <w:r>
              <w:rPr>
                <w:rFonts w:hint="default" w:ascii="仿宋_GB2312" w:hAnsi="仿宋_GB2312" w:eastAsia="仿宋_GB2312" w:cs="仿宋_GB2312"/>
                <w:color w:val="auto"/>
                <w:kern w:val="0"/>
                <w:sz w:val="21"/>
                <w:szCs w:val="21"/>
                <w:u w:val="none"/>
                <w:shd w:val="clear" w:color="auto" w:fill="auto"/>
                <w:lang w:val="en-US" w:eastAsia="zh-CN" w:bidi="zh-TW"/>
              </w:rPr>
              <w:t xml:space="preserve"> 底盘与悬挂</w:t>
            </w:r>
            <w:r>
              <w:rPr>
                <w:rFonts w:hint="eastAsia" w:ascii="仿宋_GB2312" w:hAnsi="仿宋_GB2312" w:eastAsia="仿宋_GB2312" w:cs="仿宋_GB2312"/>
                <w:color w:val="auto"/>
                <w:kern w:val="0"/>
                <w:sz w:val="21"/>
                <w:szCs w:val="21"/>
                <w:u w:val="none"/>
                <w:shd w:val="clear" w:color="auto" w:fill="auto"/>
                <w:lang w:val="en-US" w:eastAsia="zh-CN" w:bidi="zh-TW"/>
              </w:rPr>
              <w:t>：</w:t>
            </w:r>
            <w:r>
              <w:rPr>
                <w:rFonts w:hint="default" w:ascii="仿宋_GB2312" w:hAnsi="仿宋_GB2312" w:eastAsia="仿宋_GB2312" w:cs="仿宋_GB2312"/>
                <w:color w:val="auto"/>
                <w:kern w:val="0"/>
                <w:sz w:val="21"/>
                <w:szCs w:val="21"/>
                <w:u w:val="none"/>
                <w:shd w:val="clear" w:color="auto" w:fill="auto"/>
                <w:lang w:val="en-US" w:eastAsia="zh-CN" w:bidi="zh-TW"/>
              </w:rPr>
              <w:t>非承载式车身，高强度钢材质。</w:t>
            </w:r>
          </w:p>
          <w:p w14:paraId="199AFE5C">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rightChars="0" w:firstLine="0" w:firstLineChars="0"/>
              <w:jc w:val="left"/>
              <w:textAlignment w:val="auto"/>
              <w:rPr>
                <w:rFonts w:hint="eastAsia" w:ascii="仿宋_GB2312" w:hAnsi="仿宋_GB2312" w:eastAsia="仿宋_GB2312" w:cs="仿宋_GB2312"/>
                <w:color w:val="auto"/>
                <w:spacing w:val="0"/>
                <w:w w:val="100"/>
                <w:kern w:val="2"/>
                <w:position w:val="0"/>
                <w:sz w:val="24"/>
                <w:szCs w:val="24"/>
                <w:u w:val="none"/>
                <w:shd w:val="clear" w:color="auto" w:fill="auto"/>
                <w:lang w:val="en-US" w:eastAsia="zh-CN" w:bidi="ar-SA"/>
              </w:rPr>
            </w:pPr>
            <w:r>
              <w:rPr>
                <w:rFonts w:hint="eastAsia" w:ascii="仿宋_GB2312" w:hAnsi="仿宋_GB2312" w:eastAsia="仿宋_GB2312" w:cs="仿宋_GB2312"/>
                <w:color w:val="auto"/>
                <w:kern w:val="0"/>
                <w:sz w:val="21"/>
                <w:szCs w:val="21"/>
                <w:u w:val="none"/>
                <w:shd w:val="clear" w:color="auto" w:fill="auto"/>
                <w:lang w:val="en-US" w:eastAsia="zh-CN" w:bidi="zh-TW"/>
              </w:rPr>
              <w:t>5.技术性能</w:t>
            </w:r>
            <w:r>
              <w:rPr>
                <w:rFonts w:hint="default" w:ascii="仿宋_GB2312" w:hAnsi="仿宋_GB2312" w:eastAsia="仿宋_GB2312" w:cs="仿宋_GB2312"/>
                <w:color w:val="auto"/>
                <w:kern w:val="0"/>
                <w:sz w:val="21"/>
                <w:szCs w:val="21"/>
                <w:u w:val="none"/>
                <w:shd w:val="clear" w:color="auto" w:fill="auto"/>
                <w:lang w:val="en-US" w:eastAsia="zh-CN" w:bidi="zh-TW"/>
              </w:rPr>
              <w:t>：兼顾越野、载货与公路性能，侧重低扭输出、可靠四驱及高通过性。</w:t>
            </w:r>
          </w:p>
        </w:tc>
        <w:tc>
          <w:tcPr>
            <w:tcW w:w="657" w:type="pct"/>
            <w:tcBorders>
              <w:tl2br w:val="nil"/>
              <w:tr2bl w:val="nil"/>
            </w:tcBorders>
            <w:shd w:val="clear" w:color="auto" w:fill="FFFFFF"/>
            <w:noWrap w:val="0"/>
            <w:vAlign w:val="center"/>
          </w:tcPr>
          <w:p w14:paraId="4A538CE2">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rightChars="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750</w:t>
            </w:r>
          </w:p>
        </w:tc>
        <w:tc>
          <w:tcPr>
            <w:tcW w:w="678" w:type="pct"/>
            <w:tcBorders>
              <w:tl2br w:val="nil"/>
              <w:tr2bl w:val="nil"/>
            </w:tcBorders>
            <w:shd w:val="clear" w:color="auto" w:fill="FFFFFF"/>
            <w:noWrap w:val="0"/>
            <w:vAlign w:val="center"/>
          </w:tcPr>
          <w:p w14:paraId="410C11F4">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650</w:t>
            </w:r>
          </w:p>
        </w:tc>
      </w:tr>
      <w:tr w14:paraId="77A3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77" w:hRule="exact"/>
          <w:jc w:val="center"/>
        </w:trPr>
        <w:tc>
          <w:tcPr>
            <w:tcW w:w="322" w:type="pct"/>
            <w:tcBorders>
              <w:tl2br w:val="nil"/>
              <w:tr2bl w:val="nil"/>
            </w:tcBorders>
            <w:shd w:val="clear" w:color="auto" w:fill="FFFFFF"/>
            <w:noWrap w:val="0"/>
            <w:vAlign w:val="center"/>
          </w:tcPr>
          <w:p w14:paraId="3FCDDFAC">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4</w:t>
            </w:r>
          </w:p>
        </w:tc>
        <w:tc>
          <w:tcPr>
            <w:tcW w:w="671" w:type="pct"/>
            <w:tcBorders>
              <w:tl2br w:val="nil"/>
              <w:tr2bl w:val="nil"/>
            </w:tcBorders>
            <w:shd w:val="clear" w:color="auto" w:fill="FFFFFF"/>
            <w:noWrap w:val="0"/>
            <w:vAlign w:val="center"/>
          </w:tcPr>
          <w:p w14:paraId="44BA4A3F">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auto"/>
                <w:spacing w:val="0"/>
                <w:w w:val="100"/>
                <w:position w:val="0"/>
                <w:sz w:val="24"/>
                <w:szCs w:val="24"/>
                <w:highlight w:val="none"/>
                <w:lang w:eastAsia="zh-CN"/>
              </w:rPr>
            </w:pPr>
            <w:r>
              <w:rPr>
                <w:rFonts w:hint="eastAsia" w:ascii="仿宋_GB2312" w:hAnsi="仿宋_GB2312" w:eastAsia="仿宋_GB2312" w:cs="仿宋_GB2312"/>
                <w:color w:val="auto"/>
                <w:spacing w:val="0"/>
                <w:w w:val="100"/>
                <w:position w:val="0"/>
                <w:sz w:val="24"/>
                <w:szCs w:val="24"/>
                <w:highlight w:val="none"/>
                <w:lang w:val="zh-CN" w:eastAsia="zh-CN"/>
              </w:rPr>
              <w:t>商务车</w:t>
            </w:r>
          </w:p>
        </w:tc>
        <w:tc>
          <w:tcPr>
            <w:tcW w:w="397" w:type="pct"/>
            <w:tcBorders>
              <w:tl2br w:val="nil"/>
              <w:tr2bl w:val="nil"/>
            </w:tcBorders>
            <w:shd w:val="clear" w:color="auto" w:fill="FFFFFF"/>
            <w:noWrap w:val="0"/>
            <w:vAlign w:val="center"/>
          </w:tcPr>
          <w:p w14:paraId="10CD2D72">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eastAsia" w:ascii="仿宋_GB2312" w:hAnsi="仿宋_GB2312" w:eastAsia="仿宋_GB2312" w:cs="仿宋_GB2312"/>
                <w:b w:val="0"/>
                <w:bCs w:val="0"/>
                <w:color w:val="auto"/>
                <w:spacing w:val="0"/>
                <w:w w:val="100"/>
                <w:kern w:val="2"/>
                <w:position w:val="0"/>
                <w:sz w:val="24"/>
                <w:szCs w:val="24"/>
                <w:highlight w:val="none"/>
                <w:u w:val="none"/>
                <w:shd w:val="clear" w:color="auto" w:fill="auto"/>
                <w:lang w:val="zh-TW" w:eastAsia="zh-TW" w:bidi="zh-TW"/>
              </w:rPr>
            </w:pPr>
            <w:r>
              <w:rPr>
                <w:rFonts w:hint="eastAsia" w:ascii="仿宋_GB2312" w:hAnsi="仿宋_GB2312" w:eastAsia="仿宋_GB2312" w:cs="仿宋_GB2312"/>
                <w:color w:val="auto"/>
                <w:spacing w:val="0"/>
                <w:w w:val="100"/>
                <w:kern w:val="2"/>
                <w:position w:val="0"/>
                <w:sz w:val="24"/>
                <w:szCs w:val="24"/>
                <w:highlight w:val="none"/>
                <w:u w:val="none"/>
                <w:shd w:val="clear" w:color="auto" w:fill="auto"/>
                <w:lang w:val="en-US" w:eastAsia="zh-CN" w:bidi="zh-TW"/>
              </w:rPr>
              <w:t>辆</w:t>
            </w:r>
          </w:p>
        </w:tc>
        <w:tc>
          <w:tcPr>
            <w:tcW w:w="371" w:type="pct"/>
            <w:tcBorders>
              <w:tl2br w:val="nil"/>
              <w:tr2bl w:val="nil"/>
            </w:tcBorders>
            <w:shd w:val="clear" w:color="auto" w:fill="FFFFFF"/>
            <w:noWrap w:val="0"/>
            <w:vAlign w:val="center"/>
          </w:tcPr>
          <w:p w14:paraId="6EAAEBA3">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right="0" w:firstLine="0" w:firstLineChars="0"/>
              <w:jc w:val="center"/>
              <w:textAlignment w:val="auto"/>
              <w:rPr>
                <w:rFonts w:hint="default" w:ascii="仿宋_GB2312" w:hAnsi="仿宋_GB2312" w:eastAsia="仿宋_GB2312" w:cs="仿宋_GB2312"/>
                <w:color w:val="auto"/>
                <w:spacing w:val="0"/>
                <w:w w:val="100"/>
                <w:kern w:val="2"/>
                <w:position w:val="0"/>
                <w:sz w:val="24"/>
                <w:szCs w:val="24"/>
                <w:highlight w:val="none"/>
                <w:u w:val="none"/>
                <w:shd w:val="clear" w:color="auto" w:fill="auto"/>
                <w:lang w:val="en-US" w:eastAsia="zh-CN" w:bidi="ar-SA"/>
              </w:rPr>
            </w:pPr>
            <w:r>
              <w:rPr>
                <w:rFonts w:hint="eastAsia" w:ascii="仿宋_GB2312" w:hAnsi="仿宋_GB2312" w:eastAsia="仿宋_GB2312" w:cs="仿宋_GB2312"/>
                <w:color w:val="auto"/>
                <w:spacing w:val="0"/>
                <w:w w:val="100"/>
                <w:kern w:val="2"/>
                <w:position w:val="0"/>
                <w:sz w:val="24"/>
                <w:szCs w:val="24"/>
                <w:highlight w:val="none"/>
                <w:u w:val="none"/>
                <w:shd w:val="clear" w:color="auto" w:fill="auto"/>
                <w:lang w:val="en-US" w:eastAsia="zh-CN" w:bidi="ar-SA"/>
              </w:rPr>
              <w:t>1</w:t>
            </w:r>
          </w:p>
        </w:tc>
        <w:tc>
          <w:tcPr>
            <w:tcW w:w="1900" w:type="pct"/>
            <w:tcBorders>
              <w:tl2br w:val="nil"/>
              <w:tr2bl w:val="nil"/>
            </w:tcBorders>
            <w:shd w:val="clear" w:color="auto" w:fill="FFFFFF"/>
            <w:noWrap w:val="0"/>
            <w:vAlign w:val="center"/>
          </w:tcPr>
          <w:p w14:paraId="51FFA3E6">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1.</w:t>
            </w:r>
            <w:r>
              <w:rPr>
                <w:rFonts w:hint="default" w:ascii="仿宋_GB2312" w:hAnsi="仿宋_GB2312" w:eastAsia="仿宋_GB2312" w:cs="仿宋_GB2312"/>
                <w:color w:val="auto"/>
                <w:kern w:val="0"/>
                <w:sz w:val="21"/>
                <w:szCs w:val="21"/>
                <w:u w:val="none"/>
                <w:shd w:val="clear" w:color="auto" w:fill="auto"/>
                <w:lang w:val="en-US" w:eastAsia="zh-CN" w:bidi="zh-TW"/>
              </w:rPr>
              <w:t>动力系统</w:t>
            </w:r>
            <w:r>
              <w:rPr>
                <w:rFonts w:hint="eastAsia" w:ascii="仿宋_GB2312" w:hAnsi="仿宋_GB2312" w:eastAsia="仿宋_GB2312" w:cs="仿宋_GB2312"/>
                <w:color w:val="auto"/>
                <w:kern w:val="0"/>
                <w:sz w:val="21"/>
                <w:szCs w:val="21"/>
                <w:u w:val="none"/>
                <w:shd w:val="clear" w:color="auto" w:fill="auto"/>
                <w:lang w:val="en-US" w:eastAsia="zh-CN" w:bidi="zh-TW"/>
              </w:rPr>
              <w:t>：</w:t>
            </w:r>
          </w:p>
          <w:p w14:paraId="3E69E3E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default" w:ascii="仿宋_GB2312" w:hAnsi="仿宋_GB2312" w:eastAsia="仿宋_GB2312" w:cs="仿宋_GB2312"/>
                <w:color w:val="auto"/>
                <w:kern w:val="0"/>
                <w:sz w:val="21"/>
                <w:szCs w:val="21"/>
                <w:u w:val="none"/>
                <w:shd w:val="clear" w:color="auto" w:fill="auto"/>
                <w:lang w:val="en-US" w:eastAsia="zh-CN" w:bidi="zh-TW"/>
              </w:rPr>
              <w:t>发动机：2.</w:t>
            </w:r>
            <w:r>
              <w:rPr>
                <w:rFonts w:hint="eastAsia" w:ascii="仿宋_GB2312" w:hAnsi="仿宋_GB2312" w:eastAsia="仿宋_GB2312" w:cs="仿宋_GB2312"/>
                <w:color w:val="auto"/>
                <w:kern w:val="0"/>
                <w:sz w:val="21"/>
                <w:szCs w:val="21"/>
                <w:u w:val="none"/>
                <w:shd w:val="clear" w:color="auto" w:fill="auto"/>
                <w:lang w:val="en-US" w:eastAsia="zh-CN" w:bidi="zh-TW"/>
              </w:rPr>
              <w:t>0或者更高排量，</w:t>
            </w:r>
            <w:r>
              <w:rPr>
                <w:rFonts w:hint="default" w:ascii="仿宋_GB2312" w:hAnsi="仿宋_GB2312" w:eastAsia="仿宋_GB2312" w:cs="仿宋_GB2312"/>
                <w:color w:val="auto"/>
                <w:kern w:val="0"/>
                <w:sz w:val="21"/>
                <w:szCs w:val="21"/>
                <w:u w:val="none"/>
                <w:shd w:val="clear" w:color="auto" w:fill="auto"/>
                <w:lang w:val="en-US" w:eastAsia="zh-CN" w:bidi="zh-TW"/>
              </w:rPr>
              <w:t>变速箱：6AT/7DCT（经济型）</w:t>
            </w:r>
          </w:p>
          <w:p w14:paraId="776B22E1">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firstLine="0" w:firstLineChars="0"/>
              <w:jc w:val="left"/>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2、</w:t>
            </w:r>
            <w:r>
              <w:rPr>
                <w:rFonts w:hint="default" w:ascii="仿宋_GB2312" w:hAnsi="仿宋_GB2312" w:eastAsia="仿宋_GB2312" w:cs="仿宋_GB2312"/>
                <w:color w:val="auto"/>
                <w:kern w:val="0"/>
                <w:sz w:val="21"/>
                <w:szCs w:val="21"/>
                <w:u w:val="none"/>
                <w:shd w:val="clear" w:color="auto" w:fill="auto"/>
                <w:lang w:val="en-US" w:eastAsia="zh-CN" w:bidi="zh-TW"/>
              </w:rPr>
              <w:t>座椅布局：2+2+3（7座MPV）。</w:t>
            </w:r>
          </w:p>
          <w:p w14:paraId="12D1A9A0">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left="0" w:leftChars="0" w:right="0" w:rightChars="0" w:firstLine="0" w:firstLineChars="0"/>
              <w:jc w:val="left"/>
              <w:textAlignment w:val="auto"/>
              <w:rPr>
                <w:rFonts w:hint="default" w:ascii="仿宋_GB2312" w:hAnsi="仿宋_GB2312" w:eastAsia="仿宋_GB2312" w:cs="仿宋_GB2312"/>
                <w:color w:val="auto"/>
                <w:spacing w:val="0"/>
                <w:w w:val="100"/>
                <w:kern w:val="2"/>
                <w:position w:val="0"/>
                <w:sz w:val="24"/>
                <w:szCs w:val="24"/>
                <w:highlight w:val="none"/>
                <w:u w:val="none"/>
                <w:shd w:val="clear" w:color="auto" w:fill="auto"/>
                <w:lang w:val="en-US" w:eastAsia="zh-CN" w:bidi="ar-SA"/>
              </w:rPr>
            </w:pPr>
            <w:r>
              <w:rPr>
                <w:rFonts w:hint="eastAsia" w:ascii="仿宋_GB2312" w:hAnsi="仿宋_GB2312" w:eastAsia="仿宋_GB2312" w:cs="仿宋_GB2312"/>
                <w:color w:val="auto"/>
                <w:kern w:val="0"/>
                <w:sz w:val="21"/>
                <w:szCs w:val="21"/>
                <w:u w:val="none"/>
                <w:shd w:val="clear" w:color="auto" w:fill="auto"/>
                <w:lang w:val="en-US" w:eastAsia="zh-CN" w:bidi="zh-TW"/>
              </w:rPr>
              <w:t>3、技术性能</w:t>
            </w:r>
            <w:r>
              <w:rPr>
                <w:rFonts w:hint="default" w:ascii="仿宋_GB2312" w:hAnsi="仿宋_GB2312" w:eastAsia="仿宋_GB2312" w:cs="仿宋_GB2312"/>
                <w:color w:val="auto"/>
                <w:kern w:val="0"/>
                <w:sz w:val="21"/>
                <w:szCs w:val="21"/>
                <w:u w:val="none"/>
                <w:shd w:val="clear" w:color="auto" w:fill="auto"/>
                <w:lang w:val="en-US" w:eastAsia="zh-CN" w:bidi="zh-TW"/>
              </w:rPr>
              <w:t>：空间</w:t>
            </w:r>
            <w:r>
              <w:rPr>
                <w:rFonts w:hint="eastAsia" w:ascii="仿宋_GB2312" w:hAnsi="仿宋_GB2312" w:eastAsia="仿宋_GB2312" w:cs="仿宋_GB2312"/>
                <w:color w:val="auto"/>
                <w:kern w:val="0"/>
                <w:sz w:val="21"/>
                <w:szCs w:val="21"/>
                <w:u w:val="none"/>
                <w:shd w:val="clear" w:color="auto" w:fill="auto"/>
                <w:lang w:val="en-US" w:eastAsia="zh-CN" w:bidi="zh-TW"/>
              </w:rPr>
              <w:t>大</w:t>
            </w:r>
            <w:r>
              <w:rPr>
                <w:rFonts w:hint="default" w:ascii="仿宋_GB2312" w:hAnsi="仿宋_GB2312" w:eastAsia="仿宋_GB2312" w:cs="仿宋_GB2312"/>
                <w:color w:val="auto"/>
                <w:kern w:val="0"/>
                <w:sz w:val="21"/>
                <w:szCs w:val="21"/>
                <w:u w:val="none"/>
                <w:shd w:val="clear" w:color="auto" w:fill="auto"/>
                <w:lang w:val="en-US" w:eastAsia="zh-CN" w:bidi="zh-TW"/>
              </w:rPr>
              <w:t>轴距长、</w:t>
            </w:r>
            <w:r>
              <w:rPr>
                <w:rFonts w:hint="eastAsia" w:ascii="仿宋_GB2312" w:hAnsi="仿宋_GB2312" w:eastAsia="仿宋_GB2312" w:cs="仿宋_GB2312"/>
                <w:color w:val="auto"/>
                <w:kern w:val="0"/>
                <w:sz w:val="21"/>
                <w:szCs w:val="21"/>
                <w:u w:val="none"/>
                <w:shd w:val="clear" w:color="auto" w:fill="auto"/>
                <w:lang w:val="en-US" w:eastAsia="zh-CN" w:bidi="zh-TW"/>
              </w:rPr>
              <w:t>侧重舒适性。</w:t>
            </w:r>
          </w:p>
        </w:tc>
        <w:tc>
          <w:tcPr>
            <w:tcW w:w="657" w:type="pct"/>
            <w:tcBorders>
              <w:tl2br w:val="nil"/>
              <w:tr2bl w:val="nil"/>
            </w:tcBorders>
            <w:shd w:val="clear" w:color="auto" w:fill="FFFFFF"/>
            <w:noWrap w:val="0"/>
            <w:vAlign w:val="center"/>
          </w:tcPr>
          <w:p w14:paraId="327DAD60">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rightChars="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1100</w:t>
            </w:r>
          </w:p>
        </w:tc>
        <w:tc>
          <w:tcPr>
            <w:tcW w:w="678" w:type="pct"/>
            <w:tcBorders>
              <w:tl2br w:val="nil"/>
              <w:tr2bl w:val="nil"/>
            </w:tcBorders>
            <w:shd w:val="clear" w:color="auto" w:fill="FFFFFF"/>
            <w:noWrap w:val="0"/>
            <w:vAlign w:val="center"/>
          </w:tcPr>
          <w:p w14:paraId="2DD03165">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900</w:t>
            </w:r>
          </w:p>
        </w:tc>
      </w:tr>
      <w:tr w14:paraId="04C5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8" w:hRule="exact"/>
          <w:jc w:val="center"/>
        </w:trPr>
        <w:tc>
          <w:tcPr>
            <w:tcW w:w="322" w:type="pct"/>
            <w:tcBorders>
              <w:tl2br w:val="nil"/>
              <w:tr2bl w:val="nil"/>
            </w:tcBorders>
            <w:shd w:val="clear" w:color="auto" w:fill="FFFFFF"/>
            <w:noWrap w:val="0"/>
            <w:vAlign w:val="center"/>
          </w:tcPr>
          <w:p w14:paraId="0FC77E5C">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p>
          <w:p w14:paraId="548D537D">
            <w:pPr>
              <w:keepNext/>
              <w:keepLines/>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outlineLvl w:val="0"/>
              <w:rPr>
                <w:rFonts w:hint="eastAsia" w:ascii="仿宋_GB2312" w:hAnsi="仿宋_GB2312" w:eastAsia="仿宋_GB2312" w:cs="仿宋_GB2312"/>
                <w:color w:val="000000"/>
                <w:spacing w:val="0"/>
                <w:w w:val="100"/>
                <w:position w:val="0"/>
                <w:sz w:val="24"/>
                <w:szCs w:val="24"/>
                <w:lang w:val="en-US" w:eastAsia="zh-CN"/>
              </w:rPr>
            </w:pPr>
          </w:p>
          <w:p w14:paraId="454CF6E8">
            <w:pPr>
              <w:keepNext/>
              <w:keepLines/>
              <w:pageBreakBefore w:val="0"/>
              <w:widowControl w:val="0"/>
              <w:kinsoku/>
              <w:wordWrap/>
              <w:overflowPunct/>
              <w:topLinePunct w:val="0"/>
              <w:autoSpaceDE/>
              <w:autoSpaceDN/>
              <w:bidi w:val="0"/>
              <w:adjustRightInd w:val="0"/>
              <w:snapToGrid w:val="0"/>
              <w:spacing w:line="300" w:lineRule="exact"/>
              <w:ind w:firstLine="240" w:firstLineChars="100"/>
              <w:jc w:val="both"/>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374650</wp:posOffset>
                      </wp:positionV>
                      <wp:extent cx="635" cy="635"/>
                      <wp:effectExtent l="0" t="0" r="0" b="0"/>
                      <wp:wrapNone/>
                      <wp:docPr id="4" name="墨迹 4"/>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4" name="墨迹 4"/>
                                  <w14:cNvContentPartPr>
                                    <a14:cpLocks xmlns:a14="http://schemas.microsoft.com/office/drawing/2010/main" noChangeAspect="1"/>
                                  </w14:cNvContentPartPr>
                                </w14:nvContentPartPr>
                                <w14:xfrm>
                                  <a:off x="1232535" y="5857875"/>
                                  <a:ext cx="635" cy="635"/>
                                </w14:xfrm>
                              </w14:contentPart>
                            </mc:Choice>
                          </mc:AlternateContent>
                        </a:graphicData>
                      </a:graphic>
                    </wp:anchor>
                  </w:drawing>
                </mc:Choice>
                <mc:Fallback>
                  <w:pict>
                    <v:shape id="_x0000_s1026" o:spid="_x0000_s1026" o:spt="75" style="position:absolute;left:0pt;margin-left:12pt;margin-top:29.5pt;height:0.05pt;width:0.05pt;z-index:251662336;mso-width-relative:page;mso-height-relative:page;" coordsize="21600,21600" o:gfxdata="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&#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">
                      <v:imagedata r:id="rId9" o:title=""/>
                      <o:lock v:ext="edit"/>
                    </v:shape>
                  </w:pict>
                </mc:Fallback>
              </mc:AlternateContent>
            </w:r>
            <w:r>
              <w:rPr>
                <w:rFonts w:hint="eastAsia" w:ascii="仿宋_GB2312" w:hAnsi="仿宋_GB2312" w:eastAsia="仿宋_GB2312" w:cs="仿宋_GB2312"/>
                <w:color w:val="000000"/>
                <w:spacing w:val="0"/>
                <w:w w:val="100"/>
                <w:position w:val="0"/>
                <w:sz w:val="24"/>
                <w:szCs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374650</wp:posOffset>
                      </wp:positionV>
                      <wp:extent cx="635" cy="635"/>
                      <wp:effectExtent l="0" t="0" r="0" b="0"/>
                      <wp:wrapNone/>
                      <wp:docPr id="2" name="墨迹 2"/>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10">
                                <w14:nvContentPartPr>
                                  <w14:cNvPr id="2" name="墨迹 2"/>
                                  <w14:cNvContentPartPr>
                                    <a14:cpLocks xmlns:a14="http://schemas.microsoft.com/office/drawing/2010/main" noChangeAspect="1"/>
                                  </w14:cNvContentPartPr>
                                </w14:nvContentPartPr>
                                <w14:xfrm>
                                  <a:off x="1127760" y="5857875"/>
                                  <a:ext cx="635" cy="635"/>
                                </w14:xfrm>
                              </w14:contentPart>
                            </mc:Choice>
                          </mc:AlternateContent>
                        </a:graphicData>
                      </a:graphic>
                    </wp:anchor>
                  </w:drawing>
                </mc:Choice>
                <mc:Fallback>
                  <w:pict>
                    <v:shape id="_x0000_s1026" o:spid="_x0000_s1026" o:spt="75" style="position:absolute;left:0pt;margin-left:3.75pt;margin-top:29.5pt;height:0.05pt;width:0.05pt;z-index:251661312;mso-width-relative:page;mso-height-relative:page;" coordsize="21600,21600" o:gfxdata="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">
                      <v:imagedata r:id="rId9" o:title=""/>
                      <o:lock v:ext="edit"/>
                    </v:shape>
                  </w:pict>
                </mc:Fallback>
              </mc:AlternateContent>
            </w:r>
            <w:r>
              <w:rPr>
                <w:rFonts w:hint="eastAsia" w:ascii="仿宋_GB2312" w:hAnsi="仿宋_GB2312" w:eastAsia="仿宋_GB2312" w:cs="仿宋_GB2312"/>
                <w:color w:val="000000"/>
                <w:spacing w:val="0"/>
                <w:w w:val="100"/>
                <w:position w:val="0"/>
                <w:sz w:val="24"/>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374650</wp:posOffset>
                      </wp:positionV>
                      <wp:extent cx="635" cy="635"/>
                      <wp:effectExtent l="0" t="0" r="0" b="0"/>
                      <wp:wrapNone/>
                      <wp:docPr id="3" name="墨迹 3"/>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11">
                                <w14:nvContentPartPr>
                                  <w14:cNvPr id="3" name="墨迹 3"/>
                                  <w14:cNvContentPartPr>
                                    <a14:cpLocks xmlns:a14="http://schemas.microsoft.com/office/drawing/2010/main" noChangeAspect="1"/>
                                  </w14:cNvContentPartPr>
                                </w14:nvContentPartPr>
                                <w14:xfrm>
                                  <a:off x="1127760" y="5857875"/>
                                  <a:ext cx="635" cy="635"/>
                                </w14:xfrm>
                              </w14:contentPart>
                            </mc:Choice>
                          </mc:AlternateContent>
                        </a:graphicData>
                      </a:graphic>
                    </wp:anchor>
                  </w:drawing>
                </mc:Choice>
                <mc:Fallback>
                  <w:pict>
                    <v:shape id="_x0000_s1026" o:spid="_x0000_s1026" o:spt="75" style="position:absolute;left:0pt;margin-left:3.75pt;margin-top:29.5pt;height:0.05pt;width:0.05pt;z-index:251660288;mso-width-relative:page;mso-height-relative:page;" coordsize="21600,21600" o:gfxdata="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">
                      <v:imagedata r:id="rId9" o:title=""/>
                      <o:lock v:ext="edit"/>
                    </v:shape>
                  </w:pict>
                </mc:Fallback>
              </mc:AlternateContent>
            </w:r>
            <w:r>
              <w:rPr>
                <w:rFonts w:hint="eastAsia" w:ascii="仿宋_GB2312" w:hAnsi="仿宋_GB2312" w:eastAsia="仿宋_GB2312" w:cs="仿宋_GB2312"/>
                <w:color w:val="000000"/>
                <w:spacing w:val="0"/>
                <w:w w:val="100"/>
                <w:position w:val="0"/>
                <w:sz w:val="24"/>
                <w:szCs w:val="24"/>
                <w:lang w:val="en-US" w:eastAsia="zh-CN"/>
              </w:rPr>
              <w:t>5</w:t>
            </w:r>
          </w:p>
        </w:tc>
        <w:tc>
          <w:tcPr>
            <w:tcW w:w="671" w:type="pct"/>
            <w:tcBorders>
              <w:tl2br w:val="nil"/>
              <w:tr2bl w:val="nil"/>
            </w:tcBorders>
            <w:shd w:val="clear" w:color="auto" w:fill="FFFFFF"/>
            <w:noWrap w:val="0"/>
            <w:vAlign w:val="center"/>
          </w:tcPr>
          <w:p w14:paraId="67330D16">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全地形</w:t>
            </w:r>
          </w:p>
          <w:p w14:paraId="3774F171">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auto"/>
                <w:spacing w:val="0"/>
                <w:w w:val="100"/>
                <w:position w:val="0"/>
                <w:sz w:val="24"/>
                <w:szCs w:val="24"/>
                <w:highlight w:val="none"/>
                <w:lang w:eastAsia="zh-CN"/>
              </w:rPr>
            </w:pPr>
            <w:r>
              <w:rPr>
                <w:rFonts w:hint="eastAsia" w:ascii="仿宋_GB2312" w:hAnsi="仿宋_GB2312" w:eastAsia="仿宋_GB2312" w:cs="仿宋_GB2312"/>
                <w:color w:val="000000"/>
                <w:spacing w:val="0"/>
                <w:w w:val="100"/>
                <w:position w:val="0"/>
                <w:sz w:val="24"/>
                <w:szCs w:val="24"/>
                <w:lang w:val="en-US" w:eastAsia="zh-CN"/>
              </w:rPr>
              <w:t>越野车</w:t>
            </w:r>
          </w:p>
        </w:tc>
        <w:tc>
          <w:tcPr>
            <w:tcW w:w="397" w:type="pct"/>
            <w:tcBorders>
              <w:tl2br w:val="nil"/>
              <w:tr2bl w:val="nil"/>
            </w:tcBorders>
            <w:shd w:val="clear" w:color="auto" w:fill="FFFFFF"/>
            <w:noWrap w:val="0"/>
            <w:vAlign w:val="center"/>
          </w:tcPr>
          <w:p w14:paraId="6A837091">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right="0" w:firstLine="0" w:firstLineChars="0"/>
              <w:jc w:val="center"/>
              <w:textAlignment w:val="auto"/>
              <w:rPr>
                <w:rFonts w:hint="eastAsia" w:ascii="仿宋_GB2312" w:hAnsi="仿宋_GB2312" w:eastAsia="仿宋_GB2312" w:cs="仿宋_GB2312"/>
                <w:b w:val="0"/>
                <w:bCs w:val="0"/>
                <w:color w:val="auto"/>
                <w:spacing w:val="0"/>
                <w:w w:val="100"/>
                <w:kern w:val="2"/>
                <w:position w:val="0"/>
                <w:sz w:val="24"/>
                <w:szCs w:val="24"/>
                <w:highlight w:val="none"/>
                <w:u w:val="none"/>
                <w:shd w:val="clear" w:color="auto" w:fill="auto"/>
                <w:lang w:val="zh-TW" w:eastAsia="zh-TW" w:bidi="zh-TW"/>
              </w:rPr>
            </w:pPr>
            <w:r>
              <w:rPr>
                <w:rFonts w:hint="eastAsia" w:ascii="仿宋_GB2312" w:hAnsi="仿宋_GB2312" w:eastAsia="仿宋_GB2312" w:cs="仿宋_GB2312"/>
                <w:color w:val="auto"/>
                <w:spacing w:val="0"/>
                <w:w w:val="100"/>
                <w:kern w:val="2"/>
                <w:position w:val="0"/>
                <w:sz w:val="24"/>
                <w:szCs w:val="24"/>
                <w:highlight w:val="none"/>
                <w:u w:val="none"/>
                <w:shd w:val="clear" w:color="auto" w:fill="auto"/>
                <w:lang w:val="en-US" w:eastAsia="zh-CN" w:bidi="zh-TW"/>
              </w:rPr>
              <w:t>辆</w:t>
            </w:r>
          </w:p>
        </w:tc>
        <w:tc>
          <w:tcPr>
            <w:tcW w:w="371" w:type="pct"/>
            <w:tcBorders>
              <w:tl2br w:val="nil"/>
              <w:tr2bl w:val="nil"/>
            </w:tcBorders>
            <w:shd w:val="clear" w:color="auto" w:fill="FFFFFF"/>
            <w:noWrap w:val="0"/>
            <w:vAlign w:val="center"/>
          </w:tcPr>
          <w:p w14:paraId="29B4D556">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right="0" w:firstLine="0" w:firstLineChars="0"/>
              <w:jc w:val="center"/>
              <w:textAlignment w:val="auto"/>
              <w:rPr>
                <w:rFonts w:hint="eastAsia" w:ascii="仿宋_GB2312" w:hAnsi="仿宋_GB2312" w:eastAsia="仿宋_GB2312" w:cs="仿宋_GB2312"/>
                <w:color w:val="auto"/>
                <w:spacing w:val="0"/>
                <w:w w:val="100"/>
                <w:kern w:val="2"/>
                <w:position w:val="0"/>
                <w:sz w:val="24"/>
                <w:szCs w:val="24"/>
                <w:highlight w:val="none"/>
                <w:u w:val="none"/>
                <w:shd w:val="clear" w:color="auto" w:fill="auto"/>
                <w:lang w:val="en-US" w:eastAsia="zh-CN" w:bidi="ar-SA"/>
              </w:rPr>
            </w:pPr>
            <w:r>
              <w:rPr>
                <w:rFonts w:hint="eastAsia" w:ascii="仿宋_GB2312" w:hAnsi="仿宋_GB2312" w:eastAsia="仿宋_GB2312" w:cs="仿宋_GB2312"/>
                <w:color w:val="auto"/>
                <w:spacing w:val="0"/>
                <w:w w:val="100"/>
                <w:kern w:val="2"/>
                <w:position w:val="0"/>
                <w:sz w:val="24"/>
                <w:szCs w:val="24"/>
                <w:highlight w:val="none"/>
                <w:u w:val="none"/>
                <w:shd w:val="clear" w:color="auto" w:fill="auto"/>
                <w:lang w:val="en-US" w:eastAsia="zh-CN" w:bidi="ar-SA"/>
              </w:rPr>
              <w:t>1</w:t>
            </w:r>
          </w:p>
        </w:tc>
        <w:tc>
          <w:tcPr>
            <w:tcW w:w="1900" w:type="pct"/>
            <w:tcBorders>
              <w:tl2br w:val="nil"/>
              <w:tr2bl w:val="nil"/>
            </w:tcBorders>
            <w:shd w:val="clear" w:color="auto" w:fill="FFFFFF"/>
            <w:noWrap w:val="0"/>
            <w:vAlign w:val="center"/>
          </w:tcPr>
          <w:p w14:paraId="18620D60">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exact"/>
              <w:ind w:left="0" w:leftChars="0" w:right="0" w:firstLine="0" w:firstLineChars="0"/>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1、动力系统：发动机排量3.0以上高扭矩发动机。</w:t>
            </w:r>
          </w:p>
          <w:p w14:paraId="54665D39">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exact"/>
              <w:ind w:left="0" w:leftChars="0" w:right="0" w:firstLine="0" w:firstLineChars="0"/>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2、底盘与悬挂:独立悬挂车架非承载式车身，梯形大梁，离地间隙：≥250mm。</w:t>
            </w:r>
          </w:p>
          <w:p w14:paraId="0C16F99F">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60" w:lineRule="exact"/>
              <w:ind w:right="0" w:rightChars="0" w:firstLine="0" w:firstLineChars="0"/>
              <w:jc w:val="left"/>
              <w:textAlignment w:val="auto"/>
              <w:rPr>
                <w:rFonts w:hint="default" w:ascii="仿宋_GB2312" w:hAnsi="仿宋_GB2312" w:eastAsia="仿宋_GB2312" w:cs="仿宋_GB2312"/>
                <w:color w:val="auto"/>
                <w:spacing w:val="0"/>
                <w:w w:val="100"/>
                <w:kern w:val="2"/>
                <w:position w:val="0"/>
                <w:sz w:val="24"/>
                <w:szCs w:val="24"/>
                <w:highlight w:val="none"/>
                <w:u w:val="none"/>
                <w:shd w:val="clear" w:color="auto" w:fill="auto"/>
                <w:lang w:val="en-US" w:eastAsia="zh-CN" w:bidi="ar-SA"/>
              </w:rPr>
            </w:pPr>
            <w:r>
              <w:rPr>
                <w:rFonts w:hint="eastAsia" w:ascii="仿宋_GB2312" w:hAnsi="仿宋_GB2312" w:eastAsia="仿宋_GB2312" w:cs="仿宋_GB2312"/>
                <w:color w:val="auto"/>
                <w:kern w:val="0"/>
                <w:sz w:val="21"/>
                <w:szCs w:val="21"/>
                <w:lang w:val="en-US" w:eastAsia="zh-CN"/>
              </w:rPr>
              <w:t>3、技术性能:可靠四驱和极端地形适应性，确保攀和脱困能力。</w:t>
            </w:r>
          </w:p>
        </w:tc>
        <w:tc>
          <w:tcPr>
            <w:tcW w:w="657" w:type="pct"/>
            <w:tcBorders>
              <w:tl2br w:val="nil"/>
              <w:tr2bl w:val="nil"/>
            </w:tcBorders>
            <w:shd w:val="clear" w:color="auto" w:fill="FFFFFF"/>
            <w:noWrap w:val="0"/>
            <w:vAlign w:val="center"/>
          </w:tcPr>
          <w:p w14:paraId="37125C93">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rightChars="0" w:firstLine="0" w:firstLineChars="0"/>
              <w:jc w:val="center"/>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2100</w:t>
            </w:r>
          </w:p>
        </w:tc>
        <w:tc>
          <w:tcPr>
            <w:tcW w:w="678" w:type="pct"/>
            <w:tcBorders>
              <w:tl2br w:val="nil"/>
              <w:tr2bl w:val="nil"/>
            </w:tcBorders>
            <w:shd w:val="clear" w:color="auto" w:fill="FFFFFF"/>
            <w:noWrap w:val="0"/>
            <w:vAlign w:val="center"/>
          </w:tcPr>
          <w:p w14:paraId="6F1419A0">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left="0" w:leftChars="0" w:right="0" w:firstLine="0" w:firstLineChars="0"/>
              <w:jc w:val="center"/>
              <w:textAlignment w:val="auto"/>
              <w:rPr>
                <w:rFonts w:hint="default"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1700</w:t>
            </w:r>
          </w:p>
        </w:tc>
      </w:tr>
      <w:tr w14:paraId="74C1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93" w:hRule="exact"/>
          <w:jc w:val="center"/>
        </w:trPr>
        <w:tc>
          <w:tcPr>
            <w:tcW w:w="993" w:type="pct"/>
            <w:gridSpan w:val="2"/>
            <w:tcBorders>
              <w:tl2br w:val="nil"/>
              <w:tr2bl w:val="nil"/>
            </w:tcBorders>
            <w:shd w:val="clear" w:color="auto" w:fill="FFFFFF"/>
            <w:noWrap w:val="0"/>
            <w:vAlign w:val="center"/>
          </w:tcPr>
          <w:p w14:paraId="23F590D7">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auto"/>
                <w:kern w:val="0"/>
                <w:sz w:val="21"/>
                <w:szCs w:val="21"/>
                <w:u w:val="none"/>
                <w:shd w:val="clear" w:color="auto" w:fill="auto"/>
                <w:lang w:val="en-US" w:eastAsia="zh-CN" w:bidi="zh-TW"/>
              </w:rPr>
              <w:t>其他要求</w:t>
            </w:r>
          </w:p>
        </w:tc>
        <w:tc>
          <w:tcPr>
            <w:tcW w:w="4006" w:type="pct"/>
            <w:gridSpan w:val="5"/>
            <w:tcBorders>
              <w:tl2br w:val="nil"/>
              <w:tr2bl w:val="nil"/>
            </w:tcBorders>
            <w:shd w:val="clear" w:color="auto" w:fill="FFFFFF"/>
            <w:noWrap w:val="0"/>
            <w:vAlign w:val="center"/>
          </w:tcPr>
          <w:p w14:paraId="1B2E5EF9">
            <w:pPr>
              <w:keepNext w:val="0"/>
              <w:keepLines w:val="0"/>
              <w:pageBreakBefore w:val="0"/>
              <w:widowControl w:val="0"/>
              <w:shd w:val="clear" w:color="auto" w:fill="auto"/>
              <w:tabs>
                <w:tab w:val="left" w:pos="251"/>
              </w:tabs>
              <w:kinsoku/>
              <w:wordWrap/>
              <w:overflowPunct/>
              <w:topLinePunct w:val="0"/>
              <w:autoSpaceDE/>
              <w:autoSpaceDN/>
              <w:bidi w:val="0"/>
              <w:adjustRightInd w:val="0"/>
              <w:snapToGrid w:val="0"/>
              <w:spacing w:before="0" w:after="0" w:line="300" w:lineRule="exact"/>
              <w:ind w:left="0" w:leftChars="0" w:right="0" w:firstLine="0" w:firstLineChars="0"/>
              <w:jc w:val="left"/>
              <w:textAlignment w:val="auto"/>
              <w:rPr>
                <w:rFonts w:hint="eastAsia" w:ascii="仿宋_GB2312" w:hAnsi="仿宋_GB2312" w:eastAsia="仿宋_GB2312" w:cs="仿宋_GB2312"/>
                <w:color w:val="auto"/>
                <w:kern w:val="0"/>
                <w:sz w:val="21"/>
                <w:szCs w:val="21"/>
                <w:u w:val="none"/>
                <w:shd w:val="clear" w:color="auto" w:fill="FFFFFF"/>
                <w:lang w:val="en-US" w:eastAsia="zh-CN" w:bidi="ar"/>
              </w:rPr>
            </w:pPr>
            <w:r>
              <w:rPr>
                <w:rFonts w:hint="eastAsia" w:ascii="仿宋_GB2312" w:hAnsi="仿宋_GB2312" w:eastAsia="仿宋_GB2312" w:cs="仿宋_GB2312"/>
                <w:b/>
                <w:bCs/>
                <w:color w:val="auto"/>
                <w:kern w:val="0"/>
                <w:sz w:val="21"/>
                <w:szCs w:val="21"/>
                <w:u w:val="none"/>
                <w:shd w:val="clear" w:color="auto" w:fill="FFFFFF"/>
                <w:lang w:val="en-US" w:eastAsia="zh-CN" w:bidi="ar"/>
              </w:rPr>
              <w:t>1、车辆保险：</w:t>
            </w:r>
            <w:r>
              <w:rPr>
                <w:rFonts w:hint="eastAsia" w:ascii="仿宋_GB2312" w:hAnsi="仿宋_GB2312" w:eastAsia="仿宋_GB2312" w:cs="仿宋_GB2312"/>
                <w:color w:val="auto"/>
                <w:kern w:val="0"/>
                <w:sz w:val="21"/>
                <w:szCs w:val="21"/>
                <w:u w:val="none"/>
                <w:shd w:val="clear" w:color="auto" w:fill="FFFFFF"/>
                <w:lang w:val="en-US" w:eastAsia="zh-CN" w:bidi="ar"/>
              </w:rPr>
              <w:t>交强险、第三者责任险200万以上、座位险10万。</w:t>
            </w:r>
          </w:p>
          <w:p w14:paraId="1F5BA108">
            <w:pPr>
              <w:keepNext w:val="0"/>
              <w:keepLines w:val="0"/>
              <w:pageBreakBefore w:val="0"/>
              <w:widowControl w:val="0"/>
              <w:shd w:val="clear" w:color="auto" w:fill="auto"/>
              <w:tabs>
                <w:tab w:val="left" w:pos="251"/>
              </w:tabs>
              <w:kinsoku/>
              <w:wordWrap/>
              <w:overflowPunct/>
              <w:topLinePunct w:val="0"/>
              <w:autoSpaceDE/>
              <w:autoSpaceDN/>
              <w:bidi w:val="0"/>
              <w:adjustRightInd w:val="0"/>
              <w:snapToGrid w:val="0"/>
              <w:spacing w:before="0" w:after="0" w:line="300" w:lineRule="exact"/>
              <w:ind w:left="0" w:leftChars="0" w:right="0" w:firstLine="0" w:firstLineChars="0"/>
              <w:jc w:val="left"/>
              <w:textAlignment w:val="auto"/>
              <w:rPr>
                <w:rFonts w:hint="eastAsia" w:ascii="仿宋_GB2312" w:hAnsi="仿宋_GB2312" w:eastAsia="仿宋_GB2312" w:cs="仿宋_GB2312"/>
                <w:b/>
                <w:bCs/>
                <w:color w:val="auto"/>
                <w:kern w:val="0"/>
                <w:sz w:val="21"/>
                <w:szCs w:val="21"/>
                <w:u w:val="none"/>
                <w:shd w:val="clear" w:color="auto" w:fill="FFFFFF"/>
                <w:lang w:val="en-US" w:eastAsia="zh-CN" w:bidi="ar"/>
              </w:rPr>
            </w:pPr>
            <w:r>
              <w:rPr>
                <w:rFonts w:hint="eastAsia" w:ascii="仿宋_GB2312" w:hAnsi="仿宋_GB2312" w:eastAsia="仿宋_GB2312" w:cs="仿宋_GB2312"/>
                <w:b/>
                <w:bCs/>
                <w:color w:val="auto"/>
                <w:kern w:val="0"/>
                <w:sz w:val="21"/>
                <w:szCs w:val="21"/>
                <w:u w:val="none"/>
                <w:shd w:val="clear" w:color="auto" w:fill="FFFFFF"/>
                <w:lang w:val="en-US" w:eastAsia="zh-CN" w:bidi="ar"/>
              </w:rPr>
              <w:t>2、驾驶员：</w:t>
            </w:r>
            <w:r>
              <w:rPr>
                <w:rFonts w:hint="eastAsia" w:ascii="仿宋_GB2312" w:hAnsi="仿宋_GB2312" w:eastAsia="仿宋_GB2312" w:cs="仿宋_GB2312"/>
                <w:b w:val="0"/>
                <w:bCs w:val="0"/>
                <w:color w:val="auto"/>
                <w:kern w:val="0"/>
                <w:sz w:val="21"/>
                <w:szCs w:val="21"/>
                <w:u w:val="none"/>
                <w:shd w:val="clear" w:color="auto" w:fill="FFFFFF"/>
                <w:lang w:val="en-US" w:eastAsia="zh-CN" w:bidi="ar"/>
              </w:rPr>
              <w:t>拟投入本项目驾驶员最少7人。</w:t>
            </w:r>
          </w:p>
          <w:p w14:paraId="398032B9">
            <w:pPr>
              <w:keepNext w:val="0"/>
              <w:keepLines w:val="0"/>
              <w:pageBreakBefore w:val="0"/>
              <w:widowControl w:val="0"/>
              <w:shd w:val="clear" w:color="auto" w:fill="auto"/>
              <w:tabs>
                <w:tab w:val="left" w:pos="251"/>
              </w:tabs>
              <w:kinsoku/>
              <w:wordWrap/>
              <w:overflowPunct/>
              <w:topLinePunct w:val="0"/>
              <w:autoSpaceDE/>
              <w:autoSpaceDN/>
              <w:bidi w:val="0"/>
              <w:adjustRightInd w:val="0"/>
              <w:snapToGrid w:val="0"/>
              <w:spacing w:before="0" w:after="0" w:line="300" w:lineRule="exact"/>
              <w:ind w:left="0" w:leftChars="0" w:right="0" w:firstLine="0" w:firstLineChars="0"/>
              <w:jc w:val="left"/>
              <w:textAlignment w:val="auto"/>
              <w:rPr>
                <w:rFonts w:hint="default" w:ascii="仿宋_GB2312" w:hAnsi="仿宋_GB2312" w:eastAsia="仿宋_GB2312" w:cs="仿宋_GB2312"/>
                <w:b/>
                <w:bCs/>
                <w:color w:val="auto"/>
                <w:kern w:val="0"/>
                <w:sz w:val="21"/>
                <w:szCs w:val="21"/>
                <w:u w:val="none"/>
                <w:shd w:val="clear" w:color="auto" w:fill="FFFFFF"/>
                <w:lang w:val="en-US" w:eastAsia="zh-CN" w:bidi="ar"/>
              </w:rPr>
            </w:pPr>
            <w:r>
              <w:rPr>
                <w:rFonts w:hint="eastAsia" w:ascii="仿宋_GB2312" w:hAnsi="仿宋_GB2312" w:eastAsia="仿宋_GB2312" w:cs="仿宋_GB2312"/>
                <w:b/>
                <w:bCs/>
                <w:color w:val="auto"/>
                <w:kern w:val="0"/>
                <w:sz w:val="21"/>
                <w:szCs w:val="21"/>
                <w:u w:val="none"/>
                <w:shd w:val="clear" w:color="auto" w:fill="FFFFFF"/>
                <w:lang w:val="en-US" w:eastAsia="zh-CN" w:bidi="ar"/>
              </w:rPr>
              <w:t>3.旺季淡季至11月1日至次年4月30日，旺季为5月1日至10月31日。</w:t>
            </w:r>
          </w:p>
          <w:p w14:paraId="5ACAD75B">
            <w:pPr>
              <w:keepNext w:val="0"/>
              <w:keepLines w:val="0"/>
              <w:pageBreakBefore w:val="0"/>
              <w:widowControl w:val="0"/>
              <w:shd w:val="clear" w:color="auto" w:fill="auto"/>
              <w:tabs>
                <w:tab w:val="left" w:pos="251"/>
              </w:tabs>
              <w:kinsoku/>
              <w:wordWrap/>
              <w:overflowPunct/>
              <w:topLinePunct w:val="0"/>
              <w:autoSpaceDE/>
              <w:autoSpaceDN/>
              <w:bidi w:val="0"/>
              <w:adjustRightInd w:val="0"/>
              <w:snapToGrid w:val="0"/>
              <w:spacing w:before="0" w:after="0" w:line="300" w:lineRule="exact"/>
              <w:ind w:left="0" w:leftChars="0" w:right="0" w:firstLine="0" w:firstLineChars="0"/>
              <w:jc w:val="left"/>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b/>
                <w:bCs/>
                <w:color w:val="auto"/>
                <w:kern w:val="0"/>
                <w:sz w:val="21"/>
                <w:szCs w:val="21"/>
                <w:u w:val="none"/>
                <w:shd w:val="clear" w:color="auto" w:fill="FFFFFF"/>
                <w:lang w:val="en-US" w:eastAsia="zh-CN" w:bidi="ar"/>
              </w:rPr>
              <w:t>注：</w:t>
            </w:r>
            <w:r>
              <w:rPr>
                <w:rFonts w:hint="eastAsia" w:ascii="仿宋_GB2312" w:hAnsi="仿宋_GB2312" w:eastAsia="仿宋_GB2312" w:cs="仿宋_GB2312"/>
                <w:b w:val="0"/>
                <w:bCs w:val="0"/>
                <w:color w:val="auto"/>
                <w:kern w:val="0"/>
                <w:sz w:val="21"/>
                <w:szCs w:val="21"/>
                <w:u w:val="none"/>
                <w:shd w:val="clear" w:color="auto" w:fill="FFFFFF"/>
                <w:lang w:val="en-US" w:eastAsia="zh-CN" w:bidi="ar"/>
              </w:rPr>
              <w:t>拟投入本项目的车辆驾驶员需提供身份证及驾驶证复印件及上述人员近三个月的社保记录或者双方签订的服务合同等证明材料。</w:t>
            </w:r>
          </w:p>
        </w:tc>
      </w:tr>
      <w:tr w14:paraId="27FF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8" w:hRule="exact"/>
          <w:jc w:val="center"/>
        </w:trPr>
        <w:tc>
          <w:tcPr>
            <w:tcW w:w="993" w:type="pct"/>
            <w:gridSpan w:val="2"/>
            <w:tcBorders>
              <w:tl2br w:val="nil"/>
              <w:tr2bl w:val="nil"/>
            </w:tcBorders>
            <w:shd w:val="clear" w:color="auto" w:fill="FFFFFF"/>
            <w:noWrap w:val="0"/>
            <w:vAlign w:val="center"/>
          </w:tcPr>
          <w:p w14:paraId="1E011A20">
            <w:pPr>
              <w:keepNext/>
              <w:keepLines/>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auto"/>
                <w:kern w:val="0"/>
                <w:sz w:val="21"/>
                <w:szCs w:val="21"/>
                <w:u w:val="none"/>
                <w:shd w:val="clear" w:color="auto" w:fill="auto"/>
                <w:lang w:val="en-US" w:eastAsia="zh-CN" w:bidi="zh-TW"/>
              </w:rPr>
              <w:t>备注</w:t>
            </w:r>
          </w:p>
        </w:tc>
        <w:tc>
          <w:tcPr>
            <w:tcW w:w="4006" w:type="pct"/>
            <w:gridSpan w:val="5"/>
            <w:tcBorders>
              <w:tl2br w:val="nil"/>
              <w:tr2bl w:val="nil"/>
            </w:tcBorders>
            <w:shd w:val="clear" w:color="auto" w:fill="FFFFFF"/>
            <w:noWrap w:val="0"/>
            <w:vAlign w:val="center"/>
          </w:tcPr>
          <w:p w14:paraId="6C6E1EC7">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00" w:lineRule="exact"/>
              <w:ind w:right="0" w:rightChars="0" w:firstLine="0" w:firstLineChars="0"/>
              <w:jc w:val="both"/>
              <w:textAlignment w:val="auto"/>
              <w:rPr>
                <w:rFonts w:hint="eastAsia" w:ascii="仿宋_GB2312" w:hAnsi="仿宋_GB2312" w:eastAsia="仿宋_GB2312" w:cs="仿宋_GB2312"/>
                <w:color w:val="auto"/>
                <w:kern w:val="0"/>
                <w:sz w:val="21"/>
                <w:szCs w:val="21"/>
                <w:u w:val="none"/>
                <w:shd w:val="clear" w:color="auto" w:fill="auto"/>
                <w:lang w:val="en-US" w:eastAsia="zh-CN" w:bidi="zh-TW"/>
              </w:rPr>
            </w:pPr>
            <w:r>
              <w:rPr>
                <w:rFonts w:hint="eastAsia" w:ascii="仿宋_GB2312" w:hAnsi="仿宋_GB2312" w:eastAsia="仿宋_GB2312" w:cs="仿宋_GB2312"/>
                <w:color w:val="auto"/>
                <w:kern w:val="0"/>
                <w:sz w:val="21"/>
                <w:szCs w:val="21"/>
                <w:u w:val="none"/>
                <w:shd w:val="clear" w:color="auto" w:fill="auto"/>
                <w:lang w:val="en-US" w:eastAsia="zh-CN" w:bidi="zh-TW"/>
              </w:rPr>
              <w:t>此次报价包括车辆租赁费、车辆检验费、车辆维修费、司机工资、车辆审车费、保险费、税金及其他不可预见费等全部费用（根据实际情况约定）。</w:t>
            </w:r>
          </w:p>
        </w:tc>
      </w:tr>
      <w:bookmarkEnd w:id="0"/>
      <w:bookmarkEnd w:id="1"/>
    </w:tbl>
    <w:p w14:paraId="1060245B">
      <w:pPr>
        <w:widowControl/>
        <w:numPr>
          <w:ilvl w:val="0"/>
          <w:numId w:val="0"/>
        </w:numPr>
        <w:spacing w:before="480" w:beforeLines="200" w:after="480" w:afterLines="200" w:line="240" w:lineRule="auto"/>
        <w:jc w:val="both"/>
        <w:outlineLvl w:val="1"/>
        <w:rPr>
          <w:rFonts w:hint="eastAsia" w:ascii="宋体" w:hAnsi="宋体" w:eastAsia="宋体"/>
          <w:b/>
          <w:bCs/>
          <w:color w:val="auto"/>
          <w:kern w:val="0"/>
          <w:sz w:val="36"/>
          <w:szCs w:val="36"/>
          <w:highlight w:val="none"/>
          <w:lang w:val="en-US" w:eastAsia="zh-CN"/>
        </w:rPr>
      </w:pPr>
    </w:p>
    <w:p w14:paraId="345E107F">
      <w:bookmarkStart w:id="3" w:name="_GoBack"/>
      <w:bookmarkEnd w:id="3"/>
    </w:p>
    <w:sectPr>
      <w:headerReference r:id="rId5" w:type="default"/>
      <w:footerReference r:id="rId6" w:type="default"/>
      <w:pgSz w:w="11906" w:h="16838"/>
      <w:pgMar w:top="1560" w:right="1531" w:bottom="0" w:left="1588" w:header="1021" w:footer="866"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7EDA">
    <w:pPr>
      <w:pStyle w:val="2"/>
      <w:ind w:left="0" w:leftChars="0" w:firstLine="0" w:firstLineChars="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FC5333">
                          <w:pPr>
                            <w:pStyle w:val="2"/>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1FC5333">
                    <w:pPr>
                      <w:pStyle w:val="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B02ED">
    <w:pPr>
      <w:pStyle w:val="3"/>
      <w:pBdr>
        <w:bottom w:val="none" w:color="auto" w:sz="0" w:space="0"/>
      </w:pBdr>
      <w:ind w:firstLine="0" w:firstLineChars="0"/>
      <w:jc w:val="both"/>
      <w:rPr>
        <w:rFonts w:hint="eastAsia" w:ascii="仿宋" w:hAnsi="仿宋" w:eastAsia="仿宋"/>
        <w:b/>
        <w:i/>
        <w:sz w:val="24"/>
        <w:szCs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7533D"/>
    <w:rsid w:val="11401B02"/>
    <w:rsid w:val="15B92BA9"/>
    <w:rsid w:val="1A6B56A5"/>
    <w:rsid w:val="20452C91"/>
    <w:rsid w:val="33B71CA0"/>
    <w:rsid w:val="37F54B45"/>
    <w:rsid w:val="46333408"/>
    <w:rsid w:val="483330DF"/>
    <w:rsid w:val="499135EE"/>
    <w:rsid w:val="56777341"/>
    <w:rsid w:val="621E5D1D"/>
    <w:rsid w:val="69782D5D"/>
    <w:rsid w:val="6AEA1A38"/>
    <w:rsid w:val="7114286E"/>
    <w:rsid w:val="78112CFA"/>
    <w:rsid w:val="7D562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Other|1"/>
    <w:basedOn w:val="1"/>
    <w:qFormat/>
    <w:uiPriority w:val="0"/>
    <w:pPr>
      <w:widowControl w:val="0"/>
      <w:shd w:val="clear" w:color="auto" w:fill="auto"/>
      <w:spacing w:line="404" w:lineRule="exact"/>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ustomXml" Target="ink/ink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ustomXml" Target="ink/ink3.xml"/><Relationship Id="rId10" Type="http://schemas.openxmlformats.org/officeDocument/2006/relationships/customXml" Target="ink/ink2.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0.0352777777777778" units="1/cm"/>
          <inkml:channelProperty channel="Y" name="resolution" value="0.0352777777777778" units="1/cm"/>
        </inkml:channelProperties>
      </inkml:inkSource>
      <inkml:timestamp xml:id="ts0" timeString="2022-09-21T18:08:46"/>
    </inkml:context>
    <inkml:brush xml:id="br0">
      <inkml:brushProperty name="width" value="0.0224013885524538" units="cm"/>
      <inkml:brushProperty name="height" value="0.0224013885524538" units="cm"/>
      <inkml:brushProperty name="color" value="#f80600"/>
      <inkml:brushProperty name="ignorePressure" value="0"/>
    </inkml:brush>
  </inkml:definitions>
  <inkml:trace contextRef="#ctx0" brushRef="#br0">9945.000 43750.000,'0.000'0.000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0.0352777777777778" units="1/cm"/>
          <inkml:channelProperty channel="Y" name="resolution" value="0.0352777777777778" units="1/cm"/>
        </inkml:channelProperties>
      </inkml:inkSource>
      <inkml:timestamp xml:id="ts0" timeString="2022-09-21T18:08:46"/>
    </inkml:context>
    <inkml:brush xml:id="br0">
      <inkml:brushProperty name="width" value="0.0224013885524538" units="cm"/>
      <inkml:brushProperty name="height" value="0.0224013885524538" units="cm"/>
      <inkml:brushProperty name="color" value="#f80600"/>
      <inkml:brushProperty name="ignorePressure" value="0"/>
    </inkml:brush>
  </inkml:definitions>
  <inkml:trace contextRef="#ctx0" brushRef="#br0">9780.000 43750.000,'0.000'0.000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0.0352777777777778" units="1/cm"/>
          <inkml:channelProperty channel="Y" name="resolution" value="0.0352777777777778" units="1/cm"/>
        </inkml:channelProperties>
      </inkml:inkSource>
      <inkml:timestamp xml:id="ts0" timeString="2022-09-21T18:08:46"/>
    </inkml:context>
    <inkml:brush xml:id="br0">
      <inkml:brushProperty name="width" value="0.0224013885524538" units="cm"/>
      <inkml:brushProperty name="height" value="0.0224013885524538" units="cm"/>
      <inkml:brushProperty name="color" value="#f80600"/>
      <inkml:brushProperty name="ignorePressure" value="0"/>
    </inkml:brush>
  </inkml:definitions>
  <inkml:trace contextRef="#ctx0" brushRef="#br0">9780.000 43750.000,'0.000'0.000</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1691</Words>
  <Characters>1834</Characters>
  <Lines>0</Lines>
  <Paragraphs>0</Paragraphs>
  <TotalTime>0</TotalTime>
  <ScaleCrop>false</ScaleCrop>
  <LinksUpToDate>false</LinksUpToDate>
  <CharactersWithSpaces>1840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2025-04-11T07:53:00Z</dcterms:created>
  <dc:creator>Administrator</dc:creator>
  <cp:lastModifiedBy>不许人间见白头</cp:lastModifiedBy>
  <cp:lastPrinted>2025-04-11T08:51:00Z</cp:lastPrinted>
  <dcterms:modified xsi:type="dcterms:W3CDTF">2025-05-12T09:24:12Z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eyJoZGlkIjoiYTE3MDc1NWVlYzNlMGIyMzBmMDM3ZmZjMzFlZDFlMGIiLCJ1c2VySWQiOiIxMDIwMDkwNjU5In0=</vt:lpwstr>
  </property>
  <property fmtid="{D5CDD505-2E9C-101B-9397-08002B2CF9AE}" pid="4" name="ICV">
    <vt:lpwstr>964CD660F3CF494CA493CA12CFFD65DD_13</vt:lpwstr>
  </property>
</Properties>
</file>